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76D" w:rsidRDefault="00157B54" w:rsidP="004863AA">
      <w:pPr>
        <w:spacing w:beforeLines="50" w:line="560" w:lineRule="exact"/>
        <w:jc w:val="center"/>
        <w:rPr>
          <w:rFonts w:ascii="Times New Roman" w:eastAsia="方正小标宋_GBK" w:hAnsi="Times New Roman"/>
          <w:kern w:val="0"/>
          <w:sz w:val="44"/>
          <w:szCs w:val="44"/>
        </w:rPr>
      </w:pPr>
      <w:r>
        <w:rPr>
          <w:rFonts w:ascii="Times New Roman" w:eastAsia="方正小标宋_GBK" w:hAnsi="Times New Roman" w:hint="eastAsia"/>
          <w:kern w:val="0"/>
          <w:sz w:val="44"/>
          <w:szCs w:val="44"/>
        </w:rPr>
        <w:t>《无锡市城市更新办法》政策解读</w:t>
      </w:r>
    </w:p>
    <w:p w:rsidR="00F0376D" w:rsidRDefault="00F0376D" w:rsidP="004863AA">
      <w:pPr>
        <w:spacing w:beforeLines="50" w:line="560" w:lineRule="exact"/>
        <w:jc w:val="center"/>
        <w:rPr>
          <w:rFonts w:ascii="Times New Roman" w:eastAsia="方正小标宋_GBK" w:hAnsi="Times New Roman"/>
          <w:kern w:val="0"/>
          <w:sz w:val="44"/>
          <w:szCs w:val="44"/>
        </w:rPr>
      </w:pPr>
    </w:p>
    <w:p w:rsidR="00F0376D" w:rsidRDefault="00157B54">
      <w:pPr>
        <w:spacing w:line="560" w:lineRule="exact"/>
        <w:ind w:firstLineChars="200" w:firstLine="640"/>
        <w:rPr>
          <w:rFonts w:ascii="Times New Roman" w:eastAsia="方正仿宋_GBK" w:hAnsi="Times New Roman"/>
          <w:bCs/>
          <w:sz w:val="32"/>
          <w:szCs w:val="32"/>
        </w:rPr>
      </w:pPr>
      <w:r>
        <w:rPr>
          <w:rFonts w:ascii="Times New Roman" w:eastAsia="方正仿宋_GBK" w:hAnsi="Times New Roman" w:hint="eastAsia"/>
          <w:bCs/>
          <w:sz w:val="32"/>
          <w:szCs w:val="32"/>
        </w:rPr>
        <w:t>为深入实施城市更新行动，促进城市高质量发展，加快建设宜居、韧性、智慧城市，</w:t>
      </w:r>
      <w:r>
        <w:rPr>
          <w:rFonts w:ascii="Times New Roman" w:eastAsia="方正仿宋_GBK" w:hAnsi="Times New Roman" w:hint="eastAsia"/>
          <w:bCs/>
          <w:sz w:val="32"/>
          <w:szCs w:val="32"/>
        </w:rPr>
        <w:t>我市研究制订</w:t>
      </w:r>
      <w:r>
        <w:rPr>
          <w:rFonts w:ascii="Times New Roman" w:eastAsia="方正仿宋_GBK" w:hAnsi="Times New Roman" w:hint="eastAsia"/>
          <w:bCs/>
          <w:sz w:val="32"/>
          <w:szCs w:val="32"/>
        </w:rPr>
        <w:t>《无锡市城市更新办法》</w:t>
      </w:r>
      <w:r>
        <w:rPr>
          <w:rFonts w:ascii="Times New Roman" w:eastAsia="方正仿宋_GBK" w:hAnsi="Times New Roman" w:hint="eastAsia"/>
          <w:bCs/>
          <w:sz w:val="32"/>
          <w:szCs w:val="32"/>
        </w:rPr>
        <w:t>（</w:t>
      </w:r>
      <w:r>
        <w:rPr>
          <w:rFonts w:ascii="Times New Roman" w:eastAsia="方正仿宋_GBK" w:hAnsi="Times New Roman" w:hint="eastAsia"/>
          <w:bCs/>
          <w:sz w:val="32"/>
          <w:szCs w:val="32"/>
        </w:rPr>
        <w:t>以下简称《办法》</w:t>
      </w:r>
      <w:r>
        <w:rPr>
          <w:rFonts w:ascii="Times New Roman" w:eastAsia="方正仿宋_GBK" w:hAnsi="Times New Roman" w:hint="eastAsia"/>
          <w:bCs/>
          <w:sz w:val="32"/>
          <w:szCs w:val="32"/>
        </w:rPr>
        <w:t>）。</w:t>
      </w:r>
      <w:r>
        <w:rPr>
          <w:rFonts w:ascii="Times New Roman" w:eastAsia="方正仿宋_GBK" w:hAnsi="Times New Roman" w:hint="eastAsia"/>
          <w:bCs/>
          <w:sz w:val="32"/>
          <w:szCs w:val="32"/>
        </w:rPr>
        <w:t>目前，《办法》</w:t>
      </w:r>
      <w:r>
        <w:rPr>
          <w:rFonts w:ascii="Times New Roman" w:eastAsia="方正仿宋_GBK" w:hAnsi="Times New Roman" w:hint="eastAsia"/>
          <w:bCs/>
          <w:sz w:val="32"/>
          <w:szCs w:val="32"/>
        </w:rPr>
        <w:t>已经市政府第</w:t>
      </w:r>
      <w:r>
        <w:rPr>
          <w:rFonts w:ascii="Times New Roman" w:eastAsia="方正仿宋_GBK" w:hAnsi="Times New Roman" w:hint="eastAsia"/>
          <w:bCs/>
          <w:sz w:val="32"/>
          <w:szCs w:val="32"/>
        </w:rPr>
        <w:t>51</w:t>
      </w:r>
      <w:r>
        <w:rPr>
          <w:rFonts w:ascii="Times New Roman" w:eastAsia="方正仿宋_GBK" w:hAnsi="Times New Roman" w:hint="eastAsia"/>
          <w:bCs/>
          <w:sz w:val="32"/>
          <w:szCs w:val="32"/>
        </w:rPr>
        <w:t>次常务会议审议通过，</w:t>
      </w:r>
      <w:r>
        <w:rPr>
          <w:rFonts w:ascii="Times New Roman" w:eastAsia="方正仿宋_GBK" w:hAnsi="Times New Roman" w:hint="eastAsia"/>
          <w:bCs/>
          <w:sz w:val="32"/>
          <w:szCs w:val="32"/>
        </w:rPr>
        <w:t>自</w:t>
      </w:r>
      <w:r>
        <w:rPr>
          <w:rFonts w:ascii="Times New Roman" w:eastAsia="方正仿宋_GBK" w:hAnsi="Times New Roman" w:hint="eastAsia"/>
          <w:bCs/>
          <w:sz w:val="32"/>
          <w:szCs w:val="32"/>
        </w:rPr>
        <w:t>2025</w:t>
      </w:r>
      <w:r>
        <w:rPr>
          <w:rFonts w:ascii="Times New Roman" w:eastAsia="方正仿宋_GBK" w:hAnsi="Times New Roman" w:hint="eastAsia"/>
          <w:bCs/>
          <w:sz w:val="32"/>
          <w:szCs w:val="32"/>
        </w:rPr>
        <w:t>年</w:t>
      </w:r>
      <w:r>
        <w:rPr>
          <w:rFonts w:ascii="Times New Roman" w:eastAsia="方正仿宋_GBK" w:hAnsi="Times New Roman" w:hint="eastAsia"/>
          <w:bCs/>
          <w:sz w:val="32"/>
          <w:szCs w:val="32"/>
        </w:rPr>
        <w:t>3</w:t>
      </w:r>
      <w:r>
        <w:rPr>
          <w:rFonts w:ascii="Times New Roman" w:eastAsia="方正仿宋_GBK" w:hAnsi="Times New Roman" w:hint="eastAsia"/>
          <w:bCs/>
          <w:sz w:val="32"/>
          <w:szCs w:val="32"/>
        </w:rPr>
        <w:t>月</w:t>
      </w:r>
      <w:r>
        <w:rPr>
          <w:rFonts w:ascii="Times New Roman" w:eastAsia="方正仿宋_GBK" w:hAnsi="Times New Roman" w:hint="eastAsia"/>
          <w:bCs/>
          <w:sz w:val="32"/>
          <w:szCs w:val="32"/>
        </w:rPr>
        <w:t>1</w:t>
      </w:r>
      <w:r>
        <w:rPr>
          <w:rFonts w:ascii="Times New Roman" w:eastAsia="方正仿宋_GBK" w:hAnsi="Times New Roman" w:hint="eastAsia"/>
          <w:bCs/>
          <w:sz w:val="32"/>
          <w:szCs w:val="32"/>
        </w:rPr>
        <w:t>日起施行</w:t>
      </w:r>
      <w:r>
        <w:rPr>
          <w:rFonts w:ascii="Times New Roman" w:eastAsia="方正仿宋_GBK" w:hAnsi="Times New Roman" w:hint="eastAsia"/>
          <w:bCs/>
          <w:sz w:val="32"/>
          <w:szCs w:val="32"/>
        </w:rPr>
        <w:t>。</w:t>
      </w:r>
    </w:p>
    <w:p w:rsidR="00F0376D" w:rsidRDefault="00157B54">
      <w:pPr>
        <w:spacing w:line="560" w:lineRule="exact"/>
        <w:ind w:firstLineChars="200" w:firstLine="640"/>
        <w:rPr>
          <w:rFonts w:ascii="Times New Roman" w:eastAsia="方正黑体_GBK" w:hAnsi="Times New Roman"/>
          <w:color w:val="000000"/>
          <w:sz w:val="32"/>
          <w:szCs w:val="32"/>
        </w:rPr>
      </w:pPr>
      <w:r>
        <w:rPr>
          <w:rFonts w:ascii="Times New Roman" w:eastAsia="方正黑体_GBK" w:hAnsi="Times New Roman" w:hint="eastAsia"/>
          <w:color w:val="000000"/>
          <w:sz w:val="32"/>
          <w:szCs w:val="32"/>
        </w:rPr>
        <w:t>一、</w:t>
      </w:r>
      <w:r>
        <w:rPr>
          <w:rFonts w:ascii="Times New Roman" w:eastAsia="方正黑体_GBK" w:hAnsi="Times New Roman" w:hint="eastAsia"/>
          <w:color w:val="000000"/>
          <w:sz w:val="32"/>
          <w:szCs w:val="32"/>
        </w:rPr>
        <w:t xml:space="preserve"> </w:t>
      </w:r>
      <w:r>
        <w:rPr>
          <w:rFonts w:ascii="Times New Roman" w:eastAsia="方正黑体_GBK" w:hAnsi="Times New Roman" w:hint="eastAsia"/>
          <w:color w:val="000000"/>
          <w:sz w:val="32"/>
          <w:szCs w:val="32"/>
        </w:rPr>
        <w:t>《办法》</w:t>
      </w:r>
      <w:r>
        <w:rPr>
          <w:rFonts w:ascii="Times New Roman" w:eastAsia="方正黑体_GBK" w:hAnsi="Times New Roman" w:hint="eastAsia"/>
          <w:color w:val="000000"/>
          <w:sz w:val="32"/>
          <w:szCs w:val="32"/>
        </w:rPr>
        <w:t>起草的背景</w:t>
      </w:r>
    </w:p>
    <w:p w:rsidR="00F0376D" w:rsidRDefault="00157B54">
      <w:pPr>
        <w:overflowPunct w:val="0"/>
        <w:spacing w:line="560" w:lineRule="exact"/>
        <w:ind w:firstLineChars="200" w:firstLine="640"/>
        <w:rPr>
          <w:rFonts w:ascii="方正仿宋_GBK" w:eastAsia="方正仿宋_GBK"/>
          <w:kern w:val="0"/>
          <w:sz w:val="32"/>
          <w:szCs w:val="32"/>
        </w:rPr>
      </w:pPr>
      <w:r>
        <w:rPr>
          <w:rFonts w:ascii="方正仿宋_GBK" w:eastAsia="方正仿宋_GBK" w:hint="eastAsia"/>
          <w:kern w:val="0"/>
          <w:sz w:val="32"/>
          <w:szCs w:val="32"/>
        </w:rPr>
        <w:t>党的十九届五中全会通过的《中共中央关于制定国民经济和社会发展第十四个五年规划和二〇三五年远景目标的建议》明确提出实施城市更新行动。党的二十大报告要求，实施城市更新行动，打造宜居、韧性、智慧城市。党的二十届三中全会审议通过的《中共中央关于进一步全面深化改革</w:t>
      </w:r>
      <w:r w:rsidR="004863AA">
        <w:rPr>
          <w:rFonts w:ascii="方正仿宋_GBK" w:eastAsia="方正仿宋_GBK" w:hint="eastAsia"/>
          <w:kern w:val="0"/>
          <w:sz w:val="32"/>
          <w:szCs w:val="32"/>
        </w:rPr>
        <w:t>、</w:t>
      </w:r>
      <w:r>
        <w:rPr>
          <w:rFonts w:ascii="方正仿宋_GBK" w:eastAsia="方正仿宋_GBK" w:hint="eastAsia"/>
          <w:kern w:val="0"/>
          <w:sz w:val="32"/>
          <w:szCs w:val="32"/>
        </w:rPr>
        <w:t>推进中国式现代化的决定》明确提出建立可持续的城市更新模式和政策法规。</w:t>
      </w:r>
      <w:r>
        <w:rPr>
          <w:rFonts w:ascii="Times New Roman" w:eastAsia="方正仿宋_GBK" w:hAnsi="Times New Roman" w:hint="eastAsia"/>
          <w:bCs/>
          <w:sz w:val="32"/>
          <w:szCs w:val="32"/>
        </w:rPr>
        <w:t>省委省政府高度重视城市更新工作，出台了《关于实施城市更新行动的指导意见》，其中明确提出“加大政策支持。……鼓励有条件的地方进行城市更新相关立法工作。”</w:t>
      </w:r>
    </w:p>
    <w:p w:rsidR="00F0376D" w:rsidRDefault="00157B54">
      <w:pPr>
        <w:spacing w:line="560" w:lineRule="exact"/>
        <w:ind w:firstLineChars="200" w:firstLine="640"/>
        <w:rPr>
          <w:rFonts w:ascii="Times New Roman" w:eastAsia="方正黑体_GBK" w:hAnsi="Times New Roman"/>
          <w:color w:val="000000"/>
          <w:sz w:val="32"/>
          <w:szCs w:val="32"/>
        </w:rPr>
      </w:pPr>
      <w:r>
        <w:rPr>
          <w:rFonts w:ascii="Times New Roman" w:eastAsia="方正黑体_GBK" w:hAnsi="Times New Roman" w:hint="eastAsia"/>
          <w:color w:val="000000"/>
          <w:sz w:val="32"/>
          <w:szCs w:val="32"/>
        </w:rPr>
        <w:t>二、</w:t>
      </w:r>
      <w:r>
        <w:rPr>
          <w:rFonts w:ascii="Times New Roman" w:eastAsia="方正黑体_GBK" w:hAnsi="Times New Roman" w:hint="eastAsia"/>
          <w:color w:val="000000"/>
          <w:sz w:val="32"/>
          <w:szCs w:val="32"/>
        </w:rPr>
        <w:t xml:space="preserve"> </w:t>
      </w:r>
      <w:r>
        <w:rPr>
          <w:rFonts w:ascii="Times New Roman" w:eastAsia="方正黑体_GBK" w:hAnsi="Times New Roman" w:hint="eastAsia"/>
          <w:color w:val="000000"/>
          <w:sz w:val="32"/>
          <w:szCs w:val="32"/>
        </w:rPr>
        <w:t>《办法》</w:t>
      </w:r>
      <w:r>
        <w:rPr>
          <w:rFonts w:ascii="Times New Roman" w:eastAsia="方正黑体_GBK" w:hAnsi="Times New Roman" w:hint="eastAsia"/>
          <w:color w:val="000000"/>
          <w:sz w:val="32"/>
          <w:szCs w:val="32"/>
        </w:rPr>
        <w:t>的</w:t>
      </w:r>
      <w:r>
        <w:rPr>
          <w:rFonts w:ascii="Times New Roman" w:eastAsia="方正黑体_GBK" w:hAnsi="Times New Roman" w:hint="eastAsia"/>
          <w:color w:val="000000"/>
          <w:sz w:val="32"/>
          <w:szCs w:val="32"/>
        </w:rPr>
        <w:t>主要内容</w:t>
      </w:r>
    </w:p>
    <w:p w:rsidR="00F0376D" w:rsidRDefault="00157B54">
      <w:pPr>
        <w:spacing w:line="560" w:lineRule="exact"/>
        <w:ind w:firstLineChars="200" w:firstLine="640"/>
        <w:rPr>
          <w:rFonts w:ascii="Times New Roman" w:eastAsia="方正仿宋_GBK" w:hAnsi="Times New Roman"/>
          <w:bCs/>
          <w:sz w:val="32"/>
          <w:szCs w:val="32"/>
        </w:rPr>
      </w:pPr>
      <w:r>
        <w:rPr>
          <w:rFonts w:ascii="Times New Roman" w:eastAsia="方正仿宋_GBK" w:hAnsi="Times New Roman" w:hint="eastAsia"/>
          <w:bCs/>
          <w:sz w:val="32"/>
          <w:szCs w:val="32"/>
        </w:rPr>
        <w:t>《办法》包含</w:t>
      </w:r>
      <w:r>
        <w:rPr>
          <w:rFonts w:ascii="Times New Roman" w:eastAsia="方正仿宋_GBK" w:hAnsi="Times New Roman" w:hint="eastAsia"/>
          <w:bCs/>
          <w:sz w:val="32"/>
          <w:szCs w:val="32"/>
        </w:rPr>
        <w:t>6</w:t>
      </w:r>
      <w:r>
        <w:rPr>
          <w:rFonts w:ascii="Times New Roman" w:eastAsia="方正仿宋_GBK" w:hAnsi="Times New Roman" w:hint="eastAsia"/>
          <w:bCs/>
          <w:sz w:val="32"/>
          <w:szCs w:val="32"/>
        </w:rPr>
        <w:t>个章节、</w:t>
      </w:r>
      <w:r>
        <w:rPr>
          <w:rFonts w:ascii="Times New Roman" w:eastAsia="方正仿宋_GBK" w:hAnsi="Times New Roman" w:hint="eastAsia"/>
          <w:bCs/>
          <w:sz w:val="32"/>
          <w:szCs w:val="32"/>
        </w:rPr>
        <w:t>29</w:t>
      </w:r>
      <w:r>
        <w:rPr>
          <w:rFonts w:ascii="Times New Roman" w:eastAsia="方正仿宋_GBK" w:hAnsi="Times New Roman" w:hint="eastAsia"/>
          <w:bCs/>
          <w:sz w:val="32"/>
          <w:szCs w:val="32"/>
        </w:rPr>
        <w:t>条细则，进一步明确了我市城市更新的原则、工作机制、</w:t>
      </w:r>
      <w:r>
        <w:rPr>
          <w:rFonts w:ascii="Times New Roman" w:eastAsia="方正仿宋_GBK" w:hAnsi="Times New Roman" w:hint="eastAsia"/>
          <w:bCs/>
          <w:sz w:val="32"/>
          <w:szCs w:val="32"/>
        </w:rPr>
        <w:t>规划与计</w:t>
      </w:r>
      <w:bookmarkStart w:id="0" w:name="_GoBack"/>
      <w:bookmarkEnd w:id="0"/>
      <w:r>
        <w:rPr>
          <w:rFonts w:ascii="Times New Roman" w:eastAsia="方正仿宋_GBK" w:hAnsi="Times New Roman" w:hint="eastAsia"/>
          <w:bCs/>
          <w:sz w:val="32"/>
          <w:szCs w:val="32"/>
        </w:rPr>
        <w:t>划</w:t>
      </w:r>
      <w:r>
        <w:rPr>
          <w:rFonts w:ascii="Times New Roman" w:eastAsia="方正仿宋_GBK" w:hAnsi="Times New Roman" w:hint="eastAsia"/>
          <w:bCs/>
          <w:sz w:val="32"/>
          <w:szCs w:val="32"/>
        </w:rPr>
        <w:t>、</w:t>
      </w:r>
      <w:r>
        <w:rPr>
          <w:rFonts w:ascii="Times New Roman" w:eastAsia="方正仿宋_GBK" w:hAnsi="Times New Roman" w:hint="eastAsia"/>
          <w:bCs/>
          <w:sz w:val="32"/>
          <w:szCs w:val="32"/>
        </w:rPr>
        <w:t>项目</w:t>
      </w:r>
      <w:r>
        <w:rPr>
          <w:rFonts w:ascii="Times New Roman" w:eastAsia="方正仿宋_GBK" w:hAnsi="Times New Roman" w:hint="eastAsia"/>
          <w:bCs/>
          <w:sz w:val="32"/>
          <w:szCs w:val="32"/>
        </w:rPr>
        <w:t>实施、支持政策等，建立创新突破、特色鲜明、实用管用的政策底板。</w:t>
      </w:r>
    </w:p>
    <w:p w:rsidR="00F0376D" w:rsidRDefault="00157B54">
      <w:pPr>
        <w:spacing w:line="560" w:lineRule="exact"/>
        <w:ind w:firstLineChars="200" w:firstLine="640"/>
        <w:rPr>
          <w:rFonts w:ascii="方正楷体_GBK" w:eastAsia="方正楷体_GBK" w:hAnsi="方正楷体_GBK" w:cs="方正楷体_GBK"/>
          <w:bCs/>
          <w:sz w:val="32"/>
          <w:szCs w:val="32"/>
        </w:rPr>
      </w:pPr>
      <w:r>
        <w:rPr>
          <w:rFonts w:ascii="方正楷体_GBK" w:eastAsia="方正楷体_GBK" w:hAnsi="方正楷体_GBK" w:cs="方正楷体_GBK" w:hint="eastAsia"/>
          <w:bCs/>
          <w:sz w:val="32"/>
          <w:szCs w:val="32"/>
        </w:rPr>
        <w:t>（</w:t>
      </w:r>
      <w:r>
        <w:rPr>
          <w:rFonts w:ascii="方正楷体_GBK" w:eastAsia="方正楷体_GBK" w:hAnsi="方正楷体_GBK" w:cs="方正楷体_GBK" w:hint="eastAsia"/>
          <w:bCs/>
          <w:sz w:val="32"/>
          <w:szCs w:val="32"/>
        </w:rPr>
        <w:t>一</w:t>
      </w:r>
      <w:r>
        <w:rPr>
          <w:rFonts w:ascii="方正楷体_GBK" w:eastAsia="方正楷体_GBK" w:hAnsi="方正楷体_GBK" w:cs="方正楷体_GBK" w:hint="eastAsia"/>
          <w:bCs/>
          <w:sz w:val="32"/>
          <w:szCs w:val="32"/>
        </w:rPr>
        <w:t>）</w:t>
      </w:r>
      <w:r>
        <w:rPr>
          <w:rFonts w:ascii="方正楷体_GBK" w:eastAsia="方正楷体_GBK" w:hAnsi="方正楷体_GBK" w:cs="方正楷体_GBK" w:hint="eastAsia"/>
          <w:bCs/>
          <w:sz w:val="32"/>
          <w:szCs w:val="32"/>
        </w:rPr>
        <w:t>明确城市更新的内涵原则</w:t>
      </w:r>
    </w:p>
    <w:p w:rsidR="00F0376D" w:rsidRDefault="00157B54">
      <w:pPr>
        <w:spacing w:line="560" w:lineRule="exact"/>
        <w:ind w:firstLineChars="200" w:firstLine="640"/>
        <w:rPr>
          <w:rFonts w:ascii="Times New Roman" w:eastAsia="方正仿宋_GBK" w:hAnsi="Times New Roman"/>
          <w:bCs/>
          <w:sz w:val="32"/>
          <w:szCs w:val="32"/>
        </w:rPr>
      </w:pPr>
      <w:r>
        <w:rPr>
          <w:rFonts w:ascii="Times New Roman" w:eastAsia="方正仿宋_GBK" w:hAnsi="Times New Roman" w:hint="eastAsia"/>
          <w:bCs/>
          <w:sz w:val="32"/>
          <w:szCs w:val="32"/>
        </w:rPr>
        <w:t>《办法》适用范围是本市建成区，并将我市城市更新的工作原则归纳为“以人为本、民生优先，规划引领、品质为先，</w:t>
      </w:r>
      <w:r>
        <w:rPr>
          <w:rFonts w:ascii="Times New Roman" w:eastAsia="方正仿宋_GBK" w:hAnsi="Times New Roman" w:hint="eastAsia"/>
          <w:bCs/>
          <w:sz w:val="32"/>
          <w:szCs w:val="32"/>
        </w:rPr>
        <w:lastRenderedPageBreak/>
        <w:t>保护第一、活化利用，市级统筹、区级负责，政府主导、市场运作”。</w:t>
      </w:r>
    </w:p>
    <w:p w:rsidR="00F0376D" w:rsidRDefault="00157B54">
      <w:pPr>
        <w:spacing w:line="560" w:lineRule="exact"/>
        <w:ind w:firstLineChars="200" w:firstLine="640"/>
        <w:rPr>
          <w:rFonts w:ascii="方正楷体_GBK" w:eastAsia="方正楷体_GBK" w:hAnsi="方正楷体_GBK" w:cs="方正楷体_GBK"/>
          <w:bCs/>
          <w:sz w:val="32"/>
          <w:szCs w:val="32"/>
        </w:rPr>
      </w:pPr>
      <w:r>
        <w:rPr>
          <w:rFonts w:ascii="方正楷体_GBK" w:eastAsia="方正楷体_GBK" w:hAnsi="方正楷体_GBK" w:cs="方正楷体_GBK" w:hint="eastAsia"/>
          <w:bCs/>
          <w:sz w:val="32"/>
          <w:szCs w:val="32"/>
        </w:rPr>
        <w:t>（</w:t>
      </w:r>
      <w:r>
        <w:rPr>
          <w:rFonts w:ascii="方正楷体_GBK" w:eastAsia="方正楷体_GBK" w:hAnsi="方正楷体_GBK" w:cs="方正楷体_GBK" w:hint="eastAsia"/>
          <w:bCs/>
          <w:sz w:val="32"/>
          <w:szCs w:val="32"/>
        </w:rPr>
        <w:t>二</w:t>
      </w:r>
      <w:r>
        <w:rPr>
          <w:rFonts w:ascii="方正楷体_GBK" w:eastAsia="方正楷体_GBK" w:hAnsi="方正楷体_GBK" w:cs="方正楷体_GBK" w:hint="eastAsia"/>
          <w:bCs/>
          <w:sz w:val="32"/>
          <w:szCs w:val="32"/>
        </w:rPr>
        <w:t>）</w:t>
      </w:r>
      <w:r>
        <w:rPr>
          <w:rFonts w:ascii="方正楷体_GBK" w:eastAsia="方正楷体_GBK" w:hAnsi="方正楷体_GBK" w:cs="方正楷体_GBK" w:hint="eastAsia"/>
          <w:bCs/>
          <w:sz w:val="32"/>
          <w:szCs w:val="32"/>
        </w:rPr>
        <w:t>明确职责分工</w:t>
      </w:r>
    </w:p>
    <w:p w:rsidR="00F0376D" w:rsidRDefault="00157B54">
      <w:pPr>
        <w:spacing w:line="560" w:lineRule="exact"/>
        <w:ind w:firstLineChars="200" w:firstLine="640"/>
        <w:rPr>
          <w:rFonts w:ascii="Times New Roman" w:eastAsia="方正仿宋_GBK" w:hAnsi="Times New Roman"/>
          <w:bCs/>
          <w:sz w:val="32"/>
          <w:szCs w:val="32"/>
        </w:rPr>
      </w:pPr>
      <w:r>
        <w:rPr>
          <w:rFonts w:ascii="Times New Roman" w:eastAsia="方正仿宋_GBK" w:hAnsi="Times New Roman" w:hint="eastAsia"/>
          <w:bCs/>
          <w:sz w:val="32"/>
          <w:szCs w:val="32"/>
        </w:rPr>
        <w:t>总体按照“市级统筹，区级负责”的工作原则，市人民政府领导和统筹全市城市更新工作。市（县）、区人民政府是本辖区城市更新工作的责任主体，负责组织实施本辖区内的城市更新工作。</w:t>
      </w:r>
      <w:r>
        <w:rPr>
          <w:rFonts w:ascii="Times New Roman" w:eastAsia="方正仿宋_GBK" w:hAnsi="Times New Roman" w:hint="eastAsia"/>
          <w:bCs/>
          <w:sz w:val="32"/>
          <w:szCs w:val="32"/>
        </w:rPr>
        <w:t>相关部门按照职责分工，协同推动城市更新工作。</w:t>
      </w:r>
    </w:p>
    <w:p w:rsidR="00F0376D" w:rsidRDefault="00157B54">
      <w:pPr>
        <w:spacing w:line="560" w:lineRule="exact"/>
        <w:ind w:firstLineChars="200" w:firstLine="640"/>
        <w:rPr>
          <w:rFonts w:ascii="方正楷体_GBK" w:eastAsia="方正楷体_GBK" w:hAnsi="方正楷体_GBK" w:cs="方正楷体_GBK"/>
          <w:bCs/>
          <w:sz w:val="32"/>
          <w:szCs w:val="32"/>
        </w:rPr>
      </w:pPr>
      <w:r>
        <w:rPr>
          <w:rFonts w:ascii="方正楷体_GBK" w:eastAsia="方正楷体_GBK" w:hAnsi="方正楷体_GBK" w:cs="方正楷体_GBK" w:hint="eastAsia"/>
          <w:bCs/>
          <w:sz w:val="32"/>
          <w:szCs w:val="32"/>
        </w:rPr>
        <w:t>（</w:t>
      </w:r>
      <w:r>
        <w:rPr>
          <w:rFonts w:ascii="方正楷体_GBK" w:eastAsia="方正楷体_GBK" w:hAnsi="方正楷体_GBK" w:cs="方正楷体_GBK" w:hint="eastAsia"/>
          <w:bCs/>
          <w:sz w:val="32"/>
          <w:szCs w:val="32"/>
        </w:rPr>
        <w:t>三</w:t>
      </w:r>
      <w:r>
        <w:rPr>
          <w:rFonts w:ascii="方正楷体_GBK" w:eastAsia="方正楷体_GBK" w:hAnsi="方正楷体_GBK" w:cs="方正楷体_GBK" w:hint="eastAsia"/>
          <w:bCs/>
          <w:sz w:val="32"/>
          <w:szCs w:val="32"/>
        </w:rPr>
        <w:t>）</w:t>
      </w:r>
      <w:r>
        <w:rPr>
          <w:rFonts w:ascii="方正楷体_GBK" w:eastAsia="方正楷体_GBK" w:hAnsi="方正楷体_GBK" w:cs="方正楷体_GBK" w:hint="eastAsia"/>
          <w:bCs/>
          <w:sz w:val="32"/>
          <w:szCs w:val="32"/>
        </w:rPr>
        <w:t>扎实有序推进城市更新</w:t>
      </w:r>
    </w:p>
    <w:p w:rsidR="00F0376D" w:rsidRDefault="00157B54">
      <w:pPr>
        <w:spacing w:line="560" w:lineRule="exact"/>
        <w:ind w:firstLineChars="200" w:firstLine="640"/>
        <w:rPr>
          <w:rFonts w:ascii="Times New Roman" w:eastAsia="方正仿宋_GBK" w:hAnsi="Times New Roman"/>
          <w:bCs/>
          <w:sz w:val="32"/>
          <w:szCs w:val="32"/>
        </w:rPr>
      </w:pPr>
      <w:r>
        <w:rPr>
          <w:rFonts w:ascii="Times New Roman" w:eastAsia="方正仿宋_GBK" w:hAnsi="Times New Roman" w:hint="eastAsia"/>
          <w:bCs/>
          <w:sz w:val="32"/>
          <w:szCs w:val="32"/>
        </w:rPr>
        <w:t>形成</w:t>
      </w:r>
      <w:r>
        <w:rPr>
          <w:rFonts w:ascii="Times New Roman" w:eastAsia="方正仿宋_GBK" w:hAnsi="Times New Roman" w:hint="eastAsia"/>
          <w:bCs/>
          <w:sz w:val="32"/>
          <w:szCs w:val="32"/>
        </w:rPr>
        <w:t>“城市体检—专项规划—片区（单元）策划—项目实施方案”</w:t>
      </w:r>
      <w:r>
        <w:rPr>
          <w:rFonts w:ascii="Times New Roman" w:eastAsia="方正仿宋_GBK" w:hAnsi="Times New Roman" w:hint="eastAsia"/>
          <w:bCs/>
          <w:sz w:val="32"/>
          <w:szCs w:val="32"/>
        </w:rPr>
        <w:t>的实施体系</w:t>
      </w:r>
      <w:r>
        <w:rPr>
          <w:rFonts w:ascii="Times New Roman" w:eastAsia="方正仿宋_GBK" w:hAnsi="Times New Roman" w:hint="eastAsia"/>
          <w:bCs/>
          <w:sz w:val="32"/>
          <w:szCs w:val="32"/>
        </w:rPr>
        <w:t>，并在编制项目实施方案阶段开展物业权利人意见征询。相关部门应当按照优化营商环境等要求，缩减审批时限、优化审批环节，提高审批效能。</w:t>
      </w:r>
    </w:p>
    <w:p w:rsidR="00F0376D" w:rsidRDefault="00157B54">
      <w:pPr>
        <w:spacing w:line="560" w:lineRule="exact"/>
        <w:ind w:firstLineChars="200" w:firstLine="640"/>
        <w:rPr>
          <w:rFonts w:ascii="方正楷体_GBK" w:eastAsia="方正楷体_GBK" w:hAnsi="方正楷体_GBK" w:cs="方正楷体_GBK"/>
          <w:bCs/>
          <w:sz w:val="32"/>
          <w:szCs w:val="32"/>
        </w:rPr>
      </w:pPr>
      <w:r>
        <w:rPr>
          <w:rFonts w:ascii="方正楷体_GBK" w:eastAsia="方正楷体_GBK" w:hAnsi="方正楷体_GBK" w:cs="方正楷体_GBK" w:hint="eastAsia"/>
          <w:bCs/>
          <w:sz w:val="32"/>
          <w:szCs w:val="32"/>
        </w:rPr>
        <w:t>（</w:t>
      </w:r>
      <w:r>
        <w:rPr>
          <w:rFonts w:ascii="方正楷体_GBK" w:eastAsia="方正楷体_GBK" w:hAnsi="方正楷体_GBK" w:cs="方正楷体_GBK" w:hint="eastAsia"/>
          <w:bCs/>
          <w:sz w:val="32"/>
          <w:szCs w:val="32"/>
        </w:rPr>
        <w:t>四</w:t>
      </w:r>
      <w:r>
        <w:rPr>
          <w:rFonts w:ascii="方正楷体_GBK" w:eastAsia="方正楷体_GBK" w:hAnsi="方正楷体_GBK" w:cs="方正楷体_GBK" w:hint="eastAsia"/>
          <w:bCs/>
          <w:sz w:val="32"/>
          <w:szCs w:val="32"/>
        </w:rPr>
        <w:t>）</w:t>
      </w:r>
      <w:r>
        <w:rPr>
          <w:rFonts w:ascii="方正楷体_GBK" w:eastAsia="方正楷体_GBK" w:hAnsi="方正楷体_GBK" w:cs="方正楷体_GBK" w:hint="eastAsia"/>
          <w:bCs/>
          <w:sz w:val="32"/>
          <w:szCs w:val="32"/>
        </w:rPr>
        <w:t>明确</w:t>
      </w:r>
      <w:r>
        <w:rPr>
          <w:rFonts w:ascii="方正楷体_GBK" w:eastAsia="方正楷体_GBK" w:hAnsi="方正楷体_GBK" w:cs="方正楷体_GBK" w:hint="eastAsia"/>
          <w:bCs/>
          <w:sz w:val="32"/>
          <w:szCs w:val="32"/>
        </w:rPr>
        <w:t>城市更新</w:t>
      </w:r>
      <w:r>
        <w:rPr>
          <w:rFonts w:ascii="方正楷体_GBK" w:eastAsia="方正楷体_GBK" w:hAnsi="方正楷体_GBK" w:cs="方正楷体_GBK" w:hint="eastAsia"/>
          <w:bCs/>
          <w:sz w:val="32"/>
          <w:szCs w:val="32"/>
        </w:rPr>
        <w:t>的支持政策</w:t>
      </w:r>
    </w:p>
    <w:p w:rsidR="00F0376D" w:rsidRDefault="00157B54">
      <w:pPr>
        <w:spacing w:line="560" w:lineRule="exact"/>
        <w:ind w:firstLineChars="200" w:firstLine="640"/>
        <w:rPr>
          <w:rFonts w:ascii="Times New Roman" w:eastAsia="方正仿宋_GBK" w:hAnsi="Times New Roman"/>
          <w:bCs/>
          <w:sz w:val="32"/>
          <w:szCs w:val="32"/>
        </w:rPr>
      </w:pPr>
      <w:r>
        <w:rPr>
          <w:rFonts w:ascii="Times New Roman" w:eastAsia="方正仿宋_GBK" w:hAnsi="Times New Roman" w:hint="eastAsia"/>
          <w:bCs/>
          <w:sz w:val="32"/>
          <w:szCs w:val="32"/>
        </w:rPr>
        <w:t>市、市（县）区人民政府及其有关部门应当完善</w:t>
      </w:r>
      <w:r>
        <w:rPr>
          <w:rFonts w:ascii="Times New Roman" w:eastAsia="方正仿宋_GBK" w:hAnsi="Times New Roman" w:hint="eastAsia"/>
          <w:bCs/>
          <w:sz w:val="32"/>
          <w:szCs w:val="32"/>
        </w:rPr>
        <w:t>城市更新政策，深化制度创新和管理创新，形成政策合力，支持和保障城市更新。具体涵盖了资金保障、规划政策、施工图审查与管理、土地供应政策、产业用地政策、产权登记办理、绿色低碳、税费优惠、奖补激励等政策支持。</w:t>
      </w:r>
    </w:p>
    <w:p w:rsidR="00F0376D" w:rsidRDefault="00F0376D"/>
    <w:sectPr w:rsidR="00F0376D" w:rsidSect="00F037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B54" w:rsidRDefault="00157B54" w:rsidP="004863AA">
      <w:r>
        <w:separator/>
      </w:r>
    </w:p>
  </w:endnote>
  <w:endnote w:type="continuationSeparator" w:id="1">
    <w:p w:rsidR="00157B54" w:rsidRDefault="00157B54" w:rsidP="004863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方正黑体_GBK">
    <w:altName w:val="Arial Unicode MS"/>
    <w:charset w:val="86"/>
    <w:family w:val="script"/>
    <w:pitch w:val="default"/>
    <w:sig w:usb0="00000000" w:usb1="080E0000" w:usb2="00000000" w:usb3="00000000" w:csb0="00040000" w:csb1="00000000"/>
  </w:font>
  <w:font w:name="方正楷体_GBK">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B54" w:rsidRDefault="00157B54" w:rsidP="004863AA">
      <w:r>
        <w:separator/>
      </w:r>
    </w:p>
  </w:footnote>
  <w:footnote w:type="continuationSeparator" w:id="1">
    <w:p w:rsidR="00157B54" w:rsidRDefault="00157B54" w:rsidP="004863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70D0409"/>
    <w:rsid w:val="00157B54"/>
    <w:rsid w:val="004863AA"/>
    <w:rsid w:val="00F0376D"/>
    <w:rsid w:val="070D04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376D"/>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863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863AA"/>
    <w:rPr>
      <w:rFonts w:ascii="Calibri" w:eastAsia="宋体" w:hAnsi="Calibri" w:cs="Times New Roman"/>
      <w:kern w:val="2"/>
      <w:sz w:val="18"/>
      <w:szCs w:val="18"/>
    </w:rPr>
  </w:style>
  <w:style w:type="paragraph" w:styleId="a4">
    <w:name w:val="footer"/>
    <w:basedOn w:val="a"/>
    <w:link w:val="Char0"/>
    <w:rsid w:val="004863AA"/>
    <w:pPr>
      <w:tabs>
        <w:tab w:val="center" w:pos="4153"/>
        <w:tab w:val="right" w:pos="8306"/>
      </w:tabs>
      <w:snapToGrid w:val="0"/>
      <w:jc w:val="left"/>
    </w:pPr>
    <w:rPr>
      <w:sz w:val="18"/>
      <w:szCs w:val="18"/>
    </w:rPr>
  </w:style>
  <w:style w:type="character" w:customStyle="1" w:styleId="Char0">
    <w:name w:val="页脚 Char"/>
    <w:basedOn w:val="a0"/>
    <w:link w:val="a4"/>
    <w:rsid w:val="004863AA"/>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可可</dc:creator>
  <cp:lastModifiedBy>高洋</cp:lastModifiedBy>
  <cp:revision>2</cp:revision>
  <cp:lastPrinted>2025-02-07T05:56:00Z</cp:lastPrinted>
  <dcterms:created xsi:type="dcterms:W3CDTF">2025-02-07T05:56:00Z</dcterms:created>
  <dcterms:modified xsi:type="dcterms:W3CDTF">2025-02-07T06:27:00Z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566D7823A09D43CDA977D76EA7D9458F_11</vt:lpwstr>
  </property>
  <property fmtid="{D5CDD505-2E9C-101B-9397-08002B2CF9AE}" pid="4" name="KSOTemplateDocerSaveRecord">
    <vt:lpwstr>eyJoZGlkIjoiMTM4ZGJkMDdjYTA1YzU4MzNjNzRiMzZiMTgwZjU4ZTQiLCJ1c2VySWQiOiIzNzkyOTIwMTUifQ==</vt:lpwstr>
  </property>
</Properties>
</file>