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0"/>
        </w:tabs>
        <w:spacing w:line="460" w:lineRule="exact"/>
        <w:ind w:firstLine="0" w:firstLineChars="0"/>
        <w:rPr>
          <w:rFonts w:eastAsia="方正仿宋_GBK"/>
          <w:snapToGrid w:val="0"/>
          <w:kern w:val="32"/>
          <w:sz w:val="28"/>
          <w:szCs w:val="28"/>
        </w:rPr>
      </w:pPr>
      <w:r>
        <w:rPr>
          <w:rFonts w:hint="eastAsia" w:eastAsia="方正仿宋_GBK"/>
          <w:snapToGrid w:val="0"/>
          <w:kern w:val="32"/>
          <w:sz w:val="28"/>
          <w:szCs w:val="28"/>
        </w:rPr>
        <w:t>附件</w:t>
      </w:r>
    </w:p>
    <w:p>
      <w:pPr>
        <w:tabs>
          <w:tab w:val="left" w:pos="0"/>
        </w:tabs>
        <w:spacing w:line="460" w:lineRule="exact"/>
        <w:ind w:firstLine="646" w:firstLineChars="202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有限数量制资格预审方式适用条件</w:t>
      </w:r>
    </w:p>
    <w:p>
      <w:pPr>
        <w:tabs>
          <w:tab w:val="left" w:pos="0"/>
        </w:tabs>
        <w:spacing w:line="460" w:lineRule="exact"/>
        <w:ind w:firstLine="646" w:firstLineChars="202"/>
        <w:jc w:val="center"/>
        <w:rPr>
          <w:rFonts w:eastAsia="方正仿宋_GBK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0"/>
        </w:tabs>
        <w:spacing w:line="460" w:lineRule="exact"/>
        <w:ind w:firstLine="485" w:firstLineChars="0"/>
        <w:rPr>
          <w:rFonts w:eastAsia="方正仿宋_GBK"/>
          <w:snapToGrid w:val="0"/>
          <w:kern w:val="32"/>
          <w:sz w:val="24"/>
        </w:rPr>
      </w:pPr>
      <w:r>
        <w:rPr>
          <w:rFonts w:hint="eastAsia" w:eastAsia="方正仿宋_GBK"/>
          <w:snapToGrid w:val="0"/>
          <w:kern w:val="32"/>
          <w:sz w:val="24"/>
        </w:rPr>
        <w:t>有限数量制资格预审方式的使用应当严格控制，招标人拟采用有限数量制资格预审方式的，应当符合以下适用条件并经建设单位及招标人党委（党组）</w:t>
      </w:r>
      <w:r>
        <w:rPr>
          <w:rFonts w:hint="eastAsia" w:eastAsia="方正仿宋_GBK"/>
          <w:snapToGrid w:val="0"/>
          <w:kern w:val="32"/>
          <w:sz w:val="24"/>
          <w:lang w:val="en-US" w:eastAsia="zh-CN"/>
        </w:rPr>
        <w:t>集体决策</w:t>
      </w:r>
      <w:r>
        <w:rPr>
          <w:rFonts w:hint="eastAsia" w:eastAsia="方正仿宋_GBK"/>
          <w:snapToGrid w:val="0"/>
          <w:kern w:val="32"/>
          <w:sz w:val="24"/>
        </w:rPr>
        <w:t>，在招标前通过建设工程电子招投标系统进行选择，并将建设单位及招标人党委（党组）</w:t>
      </w:r>
      <w:r>
        <w:rPr>
          <w:rFonts w:hint="eastAsia" w:eastAsia="方正仿宋_GBK"/>
          <w:snapToGrid w:val="0"/>
          <w:kern w:val="32"/>
          <w:sz w:val="24"/>
          <w:lang w:val="en-US" w:eastAsia="zh-CN"/>
        </w:rPr>
        <w:t>集体决策</w:t>
      </w:r>
      <w:r>
        <w:rPr>
          <w:rFonts w:hint="eastAsia" w:eastAsia="方正仿宋_GBK"/>
          <w:snapToGrid w:val="0"/>
          <w:kern w:val="32"/>
          <w:sz w:val="24"/>
        </w:rPr>
        <w:t>的文件上传至建设工程电子招投标系统。</w:t>
      </w:r>
    </w:p>
    <w:p>
      <w:pPr>
        <w:numPr>
          <w:ilvl w:val="0"/>
          <w:numId w:val="1"/>
        </w:numPr>
        <w:tabs>
          <w:tab w:val="left" w:pos="0"/>
        </w:tabs>
        <w:spacing w:line="460" w:lineRule="exact"/>
        <w:ind w:firstLine="484" w:firstLineChars="202"/>
        <w:rPr>
          <w:rFonts w:eastAsia="方正仿宋_GBK"/>
          <w:snapToGrid w:val="0"/>
          <w:kern w:val="32"/>
          <w:sz w:val="24"/>
        </w:rPr>
      </w:pPr>
      <w:r>
        <w:rPr>
          <w:rFonts w:hint="eastAsia" w:eastAsia="方正仿宋_GBK"/>
          <w:snapToGrid w:val="0"/>
          <w:kern w:val="32"/>
          <w:sz w:val="24"/>
        </w:rPr>
        <w:t>有限数量制资格预审方式适用条件：</w:t>
      </w:r>
    </w:p>
    <w:p>
      <w:pPr>
        <w:tabs>
          <w:tab w:val="left" w:pos="0"/>
        </w:tabs>
        <w:spacing w:line="460" w:lineRule="exact"/>
        <w:ind w:left="485"/>
        <w:rPr>
          <w:rFonts w:eastAsia="方正仿宋_GBK"/>
          <w:snapToGrid w:val="0"/>
          <w:kern w:val="32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53"/>
        <w:gridCol w:w="9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89" w:type="dxa"/>
            <w:vAlign w:val="center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招标内容</w:t>
            </w:r>
          </w:p>
        </w:tc>
        <w:tc>
          <w:tcPr>
            <w:tcW w:w="1455" w:type="dxa"/>
            <w:vAlign w:val="center"/>
          </w:tcPr>
          <w:p>
            <w:pPr>
              <w:tabs>
                <w:tab w:val="left" w:pos="0"/>
              </w:tabs>
              <w:spacing w:line="32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单项合同估算价</w:t>
            </w:r>
          </w:p>
        </w:tc>
        <w:tc>
          <w:tcPr>
            <w:tcW w:w="9850" w:type="dxa"/>
            <w:vAlign w:val="center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技术复杂指标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89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房屋建筑施工总承包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≥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5000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万元</w:t>
            </w: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建筑高度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100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米以上、单跨跨度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39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米以上或者单体建筑面积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10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万平米以上建筑物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eastAsia="方正仿宋_GBK"/>
                <w:snapToGrid w:val="0"/>
                <w:kern w:val="32"/>
                <w:szCs w:val="21"/>
              </w:rPr>
              <w:t>75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米以上大跨度钢结构工程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高度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 xml:space="preserve">120 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米以上的高耸构筑物；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32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深度或者高度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10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米以上的深基坑或者边坡支护（局部开挖面积不一致的，超过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10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米深度的基坑面积须超过基坑总开挖面积的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50%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以上）工程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按五星及以上标准设计的宾馆（招标范围包含装修工程时适用）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大型仿古建筑（单体面积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1000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平米以上）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音乐厅、博物馆、体育场馆、影剧院、候机楼、会展中心等大型公共建筑工程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32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采用装配式等新型技术建设的房屋建筑（提供住建部门出具的“无锡市装配式建筑项目设计阶段技术论证意见书”）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市政工程施工总承包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≥5000万元</w:t>
            </w: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断面面积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25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平米以上或</w:t>
            </w:r>
            <w:bookmarkStart w:id="0" w:name="_GoBack"/>
            <w:bookmarkEnd w:id="0"/>
            <w:r>
              <w:rPr>
                <w:rFonts w:hint="eastAsia" w:eastAsia="方正仿宋_GBK"/>
                <w:snapToGrid w:val="0"/>
                <w:kern w:val="32"/>
                <w:szCs w:val="21"/>
              </w:rPr>
              <w:t>单洞长度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1000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米以上的隧道工程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单跨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45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米以上的城市桥梁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直径２米以上的大口径顶管工程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eastAsia="方正仿宋_GBK"/>
                <w:snapToGrid w:val="0"/>
                <w:kern w:val="32"/>
                <w:szCs w:val="21"/>
              </w:rPr>
              <w:t>15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万吨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/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日以上污水泵站或雨水泵站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eastAsia="方正仿宋_GBK"/>
                <w:snapToGrid w:val="0"/>
                <w:kern w:val="32"/>
                <w:szCs w:val="21"/>
              </w:rPr>
              <w:t xml:space="preserve">25 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万吨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/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日以上的给水泵站、垃圾处理场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高压或者次高压天然气场站及管线工程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液化天然气（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LNG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）储罐项目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长距离输水隧洞、综合管廊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32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深度或者高度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10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米以上的深基坑或者边坡支护（局部开挖面积不一致的，超过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10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米深度的基坑面积须超过基坑总开挖面积的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50%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城市轨道交通工程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≥5000万元</w:t>
            </w: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轨道交通区间车站主体、轨道铺设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轨道交通监控信号安装工程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轨道交通智能化工程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装饰装修工程</w:t>
            </w:r>
          </w:p>
        </w:tc>
        <w:tc>
          <w:tcPr>
            <w:tcW w:w="1455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≥2000万元</w:t>
            </w: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按五星及以上标准设计的宾馆精装修工程（仅适用于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32"/>
                <w:szCs w:val="21"/>
              </w:rPr>
              <w:t>装饰装修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专业工程单独招标时使用）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幕墙工程</w:t>
            </w:r>
          </w:p>
        </w:tc>
        <w:tc>
          <w:tcPr>
            <w:tcW w:w="1455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≥2000万元</w:t>
            </w: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32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采用曲面幕墙技术（幕墙面板材料应为曲面结构）且曲面幕墙面积超过幕墙总面积的</w:t>
            </w:r>
            <w:r>
              <w:rPr>
                <w:rFonts w:eastAsia="方正仿宋_GBK"/>
                <w:snapToGrid w:val="0"/>
                <w:kern w:val="32"/>
                <w:szCs w:val="21"/>
              </w:rPr>
              <w:t>50%</w:t>
            </w:r>
            <w:r>
              <w:rPr>
                <w:rFonts w:hint="eastAsia" w:eastAsia="方正仿宋_GBK"/>
                <w:snapToGrid w:val="0"/>
                <w:kern w:val="32"/>
                <w:szCs w:val="21"/>
              </w:rPr>
              <w:t>以上（仅适用于幕墙专业工程单独招标时使用）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jc w:val="center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建筑物平移工程</w:t>
            </w:r>
          </w:p>
        </w:tc>
        <w:tc>
          <w:tcPr>
            <w:tcW w:w="1455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≥1000万元</w:t>
            </w:r>
          </w:p>
        </w:tc>
        <w:tc>
          <w:tcPr>
            <w:tcW w:w="9850" w:type="dxa"/>
          </w:tcPr>
          <w:p>
            <w:pPr>
              <w:tabs>
                <w:tab w:val="left" w:pos="0"/>
              </w:tabs>
              <w:spacing w:line="480" w:lineRule="exact"/>
              <w:ind w:right="-34"/>
              <w:rPr>
                <w:rFonts w:eastAsia="方正仿宋_GBK"/>
                <w:snapToGrid w:val="0"/>
                <w:kern w:val="32"/>
                <w:szCs w:val="21"/>
              </w:rPr>
            </w:pPr>
            <w:r>
              <w:rPr>
                <w:rFonts w:hint="eastAsia" w:eastAsia="方正仿宋_GBK"/>
                <w:snapToGrid w:val="0"/>
                <w:kern w:val="32"/>
                <w:szCs w:val="21"/>
              </w:rPr>
              <w:t>建筑物平移工程（仅适用于建筑物平移专业工程单独招标时使用）</w:t>
            </w:r>
          </w:p>
        </w:tc>
      </w:tr>
    </w:tbl>
    <w:p>
      <w:pPr>
        <w:numPr>
          <w:ilvl w:val="0"/>
          <w:numId w:val="1"/>
        </w:numPr>
        <w:tabs>
          <w:tab w:val="left" w:pos="0"/>
        </w:tabs>
        <w:spacing w:line="460" w:lineRule="exact"/>
        <w:ind w:firstLine="484" w:firstLineChars="202"/>
        <w:rPr>
          <w:rFonts w:hint="eastAsia" w:eastAsia="方正仿宋_GBK"/>
          <w:snapToGrid w:val="0"/>
          <w:kern w:val="32"/>
          <w:sz w:val="24"/>
          <w:szCs w:val="24"/>
        </w:rPr>
      </w:pPr>
      <w:r>
        <w:rPr>
          <w:rFonts w:hint="eastAsia" w:eastAsia="方正仿宋_GBK"/>
          <w:snapToGrid w:val="0"/>
          <w:kern w:val="32"/>
          <w:sz w:val="24"/>
          <w:lang w:val="en-US" w:eastAsia="zh-CN"/>
        </w:rPr>
        <w:t>上表未列明的工程不得采用</w:t>
      </w:r>
      <w:r>
        <w:rPr>
          <w:rFonts w:hint="eastAsia" w:eastAsia="方正仿宋_GBK"/>
          <w:snapToGrid w:val="0"/>
          <w:kern w:val="32"/>
          <w:sz w:val="24"/>
        </w:rPr>
        <w:t>有限数量制资格预审</w:t>
      </w:r>
      <w:r>
        <w:rPr>
          <w:rFonts w:hint="eastAsia" w:eastAsia="方正仿宋_GBK"/>
          <w:snapToGrid w:val="0"/>
          <w:kern w:val="32"/>
          <w:sz w:val="24"/>
          <w:lang w:eastAsia="zh-CN"/>
        </w:rPr>
        <w:t>。</w:t>
      </w:r>
      <w:r>
        <w:rPr>
          <w:rFonts w:hint="eastAsia" w:eastAsia="方正仿宋_GBK"/>
          <w:snapToGrid w:val="0"/>
          <w:kern w:val="3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6934835</wp:posOffset>
                </wp:positionH>
                <wp:positionV relativeFrom="paragraph">
                  <wp:posOffset>3164205</wp:posOffset>
                </wp:positionV>
                <wp:extent cx="199390" cy="0"/>
                <wp:effectExtent l="0" t="48895" r="3810" b="527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94675" y="4895850"/>
                          <a:ext cx="1993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6.05pt;margin-top:249.15pt;height:0pt;width:15.7pt;z-index:251661312;mso-width-relative:page;mso-height-relative:page;" filled="f" stroked="t" coordsize="21600,21600" o:gfxdata="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gjWzbaAAAA&#10;DQEAAA8AAAAAAAAAAQAgAAAAIgAAAGRycy9kb3ducmV2LnhtbFBLAQIUABQAAAAIAIdO4kB+vbvW&#10;GwIAAPsDAAAOAAAAAAAAAAEAIAAAACk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方正仿宋_GBK"/>
          <w:snapToGrid w:val="0"/>
          <w:kern w:val="3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6562725</wp:posOffset>
                </wp:positionH>
                <wp:positionV relativeFrom="paragraph">
                  <wp:posOffset>3486785</wp:posOffset>
                </wp:positionV>
                <wp:extent cx="0" cy="167640"/>
                <wp:effectExtent l="48895" t="0" r="52705" b="101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822565" y="5218430"/>
                          <a:ext cx="0" cy="1676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6.75pt;margin-top:274.55pt;height:13.2pt;width:0pt;z-index:251660288;mso-width-relative:page;mso-height-relative:page;" filled="f" stroked="t" coordsize="21600,21600" o:gfxdata="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WJ/K/aAAAA&#10;DQEAAA8AAAAAAAAAAQAgAAAAIgAAAGRycy9kb3ducmV2LnhtbFBLAQIUABQAAAAIAIdO4kC9jNNw&#10;GwIAAPsDAAAOAAAAAAAAAAEAIAAAACk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45085</wp:posOffset>
              </wp:positionV>
              <wp:extent cx="1167130" cy="273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55pt;height:21.5pt;width:91.9pt;mso-position-horizontal:outside;mso-position-horizontal-relative:margin;z-index:251659264;mso-width-relative:page;mso-height-relative:page;" filled="f" stroked="f" coordsize="21600,21600" o:gfxdata="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9UCLb0wAAAAUBAAAPAAAAAAAAAAEAIAAAACIAAABkcnMvZG93bnJldi54bWxQSwECFAAU&#10;AAAACACHTuJAqnOtvC8CAABWBAAADgAAAAAAAAABACAAAAAi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DB992"/>
    <w:multiLevelType w:val="singleLevel"/>
    <w:tmpl w:val="0DBDB9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NhOGYzNjE5NjI4ZGNiOTg3NTBlYjlmNWM4ZTcifQ=="/>
    <w:docVar w:name="KSO_WPS_MARK_KEY" w:val="014fdcfc-4583-41ef-9e93-d51a8c7286a0"/>
  </w:docVars>
  <w:rsids>
    <w:rsidRoot w:val="00CD46D0"/>
    <w:rsid w:val="00003AB4"/>
    <w:rsid w:val="00020373"/>
    <w:rsid w:val="00027826"/>
    <w:rsid w:val="000937EC"/>
    <w:rsid w:val="000A6F04"/>
    <w:rsid w:val="000B26E8"/>
    <w:rsid w:val="000F23E7"/>
    <w:rsid w:val="00115AC7"/>
    <w:rsid w:val="00142901"/>
    <w:rsid w:val="00255887"/>
    <w:rsid w:val="002D0C8F"/>
    <w:rsid w:val="002E5E4A"/>
    <w:rsid w:val="004210B0"/>
    <w:rsid w:val="00494F5F"/>
    <w:rsid w:val="004C1ACF"/>
    <w:rsid w:val="004F36D3"/>
    <w:rsid w:val="00533A2C"/>
    <w:rsid w:val="005C389F"/>
    <w:rsid w:val="00651E81"/>
    <w:rsid w:val="006A290F"/>
    <w:rsid w:val="006C21FE"/>
    <w:rsid w:val="006E5806"/>
    <w:rsid w:val="00725020"/>
    <w:rsid w:val="007F1E4D"/>
    <w:rsid w:val="00826E93"/>
    <w:rsid w:val="008F4FDF"/>
    <w:rsid w:val="009A6DAE"/>
    <w:rsid w:val="009D3C78"/>
    <w:rsid w:val="009E16CB"/>
    <w:rsid w:val="009E7BDB"/>
    <w:rsid w:val="00B1208D"/>
    <w:rsid w:val="00B243E1"/>
    <w:rsid w:val="00B479FA"/>
    <w:rsid w:val="00B55640"/>
    <w:rsid w:val="00C213BC"/>
    <w:rsid w:val="00C375D5"/>
    <w:rsid w:val="00C67EA2"/>
    <w:rsid w:val="00CA7E77"/>
    <w:rsid w:val="00CD46D0"/>
    <w:rsid w:val="00D03BB5"/>
    <w:rsid w:val="00D1165F"/>
    <w:rsid w:val="00D35BE5"/>
    <w:rsid w:val="00D611A3"/>
    <w:rsid w:val="00D7567D"/>
    <w:rsid w:val="00EB1879"/>
    <w:rsid w:val="00EC1C76"/>
    <w:rsid w:val="00F72306"/>
    <w:rsid w:val="01DD4AE7"/>
    <w:rsid w:val="03001C54"/>
    <w:rsid w:val="03733ABC"/>
    <w:rsid w:val="03A56D90"/>
    <w:rsid w:val="063C4221"/>
    <w:rsid w:val="06563FCE"/>
    <w:rsid w:val="09CF1405"/>
    <w:rsid w:val="0BE860D8"/>
    <w:rsid w:val="0C5F3F4C"/>
    <w:rsid w:val="0D33134B"/>
    <w:rsid w:val="0E411126"/>
    <w:rsid w:val="102D2670"/>
    <w:rsid w:val="10357E4D"/>
    <w:rsid w:val="12D514D0"/>
    <w:rsid w:val="133F30E4"/>
    <w:rsid w:val="13D06765"/>
    <w:rsid w:val="14152133"/>
    <w:rsid w:val="15E82056"/>
    <w:rsid w:val="1633267B"/>
    <w:rsid w:val="16A57887"/>
    <w:rsid w:val="185A2D62"/>
    <w:rsid w:val="1B38513B"/>
    <w:rsid w:val="1B79143C"/>
    <w:rsid w:val="1CCE6C47"/>
    <w:rsid w:val="1F0A37FE"/>
    <w:rsid w:val="22122079"/>
    <w:rsid w:val="258424AE"/>
    <w:rsid w:val="25982B0E"/>
    <w:rsid w:val="263E70EC"/>
    <w:rsid w:val="26934D23"/>
    <w:rsid w:val="28575C58"/>
    <w:rsid w:val="28EC20D2"/>
    <w:rsid w:val="29F06853"/>
    <w:rsid w:val="2A6C118B"/>
    <w:rsid w:val="30F94F21"/>
    <w:rsid w:val="319C27E8"/>
    <w:rsid w:val="31FD2F6A"/>
    <w:rsid w:val="34507753"/>
    <w:rsid w:val="36607C75"/>
    <w:rsid w:val="36D87E34"/>
    <w:rsid w:val="37396092"/>
    <w:rsid w:val="3AA4101E"/>
    <w:rsid w:val="3D7620A9"/>
    <w:rsid w:val="40AA2B73"/>
    <w:rsid w:val="442944F4"/>
    <w:rsid w:val="47F76754"/>
    <w:rsid w:val="48BF541B"/>
    <w:rsid w:val="4A6205FB"/>
    <w:rsid w:val="4CAE43A0"/>
    <w:rsid w:val="51E801D3"/>
    <w:rsid w:val="5218034C"/>
    <w:rsid w:val="53326A74"/>
    <w:rsid w:val="54AF6350"/>
    <w:rsid w:val="5553152B"/>
    <w:rsid w:val="563876E0"/>
    <w:rsid w:val="57777721"/>
    <w:rsid w:val="5783540C"/>
    <w:rsid w:val="588E0972"/>
    <w:rsid w:val="59D408B3"/>
    <w:rsid w:val="5AA23CA0"/>
    <w:rsid w:val="5C173AE3"/>
    <w:rsid w:val="5D2B1BDF"/>
    <w:rsid w:val="5E1D07CE"/>
    <w:rsid w:val="611E7A3D"/>
    <w:rsid w:val="61541171"/>
    <w:rsid w:val="61ED7241"/>
    <w:rsid w:val="6618424A"/>
    <w:rsid w:val="680B4215"/>
    <w:rsid w:val="691403FA"/>
    <w:rsid w:val="69D24ABD"/>
    <w:rsid w:val="6AD00976"/>
    <w:rsid w:val="75C42329"/>
    <w:rsid w:val="75F17E32"/>
    <w:rsid w:val="76AA68F1"/>
    <w:rsid w:val="76D236F3"/>
    <w:rsid w:val="77DC225E"/>
    <w:rsid w:val="78AF4DBF"/>
    <w:rsid w:val="7AA8546C"/>
    <w:rsid w:val="7ECF3A23"/>
    <w:rsid w:val="7F9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7"/>
    <w:qFormat/>
    <w:uiPriority w:val="0"/>
    <w:pPr>
      <w:jc w:val="left"/>
    </w:pPr>
  </w:style>
  <w:style w:type="paragraph" w:styleId="4">
    <w:name w:val="Balloon Text"/>
    <w:basedOn w:val="1"/>
    <w:link w:val="3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jc w:val="center"/>
    </w:pPr>
    <w:rPr>
      <w:sz w:val="2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  <w:rPr>
      <w:b/>
      <w:bCs/>
    </w:rPr>
  </w:style>
  <w:style w:type="character" w:styleId="15">
    <w:name w:val="HTML Definition"/>
    <w:basedOn w:val="10"/>
    <w:qFormat/>
    <w:uiPriority w:val="0"/>
  </w:style>
  <w:style w:type="character" w:styleId="16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0"/>
    <w:qFormat/>
    <w:uiPriority w:val="0"/>
  </w:style>
  <w:style w:type="character" w:styleId="18">
    <w:name w:val="HTML Variable"/>
    <w:basedOn w:val="10"/>
    <w:qFormat/>
    <w:uiPriority w:val="0"/>
  </w:style>
  <w:style w:type="character" w:styleId="19">
    <w:name w:val="Hyperlink"/>
    <w:basedOn w:val="10"/>
    <w:qFormat/>
    <w:uiPriority w:val="0"/>
    <w:rPr>
      <w:color w:val="333333"/>
      <w:u w:val="none"/>
    </w:rPr>
  </w:style>
  <w:style w:type="character" w:styleId="20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0"/>
    <w:qFormat/>
    <w:uiPriority w:val="0"/>
  </w:style>
  <w:style w:type="character" w:styleId="22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0"/>
    <w:qFormat/>
    <w:uiPriority w:val="0"/>
    <w:rPr>
      <w:rFonts w:ascii="monospace" w:hAnsi="monospace" w:eastAsia="monospace" w:cs="monospace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comboiconspanclear"/>
    <w:basedOn w:val="10"/>
    <w:qFormat/>
    <w:uiPriority w:val="0"/>
  </w:style>
  <w:style w:type="character" w:customStyle="1" w:styleId="26">
    <w:name w:val="comboiconspan"/>
    <w:basedOn w:val="10"/>
    <w:qFormat/>
    <w:uiPriority w:val="0"/>
  </w:style>
  <w:style w:type="character" w:customStyle="1" w:styleId="27">
    <w:name w:val="ui-icon48"/>
    <w:basedOn w:val="10"/>
    <w:qFormat/>
    <w:uiPriority w:val="0"/>
  </w:style>
  <w:style w:type="character" w:customStyle="1" w:styleId="28">
    <w:name w:val="clear"/>
    <w:basedOn w:val="10"/>
    <w:qFormat/>
    <w:uiPriority w:val="0"/>
  </w:style>
  <w:style w:type="character" w:customStyle="1" w:styleId="29">
    <w:name w:val="select"/>
    <w:basedOn w:val="10"/>
    <w:qFormat/>
    <w:uiPriority w:val="0"/>
  </w:style>
  <w:style w:type="paragraph" w:customStyle="1" w:styleId="30">
    <w:name w:val="_Style 2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1">
    <w:name w:val="_Style 2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2">
    <w:name w:val="ui-icon47"/>
    <w:basedOn w:val="10"/>
    <w:qFormat/>
    <w:uiPriority w:val="0"/>
  </w:style>
  <w:style w:type="character" w:customStyle="1" w:styleId="33">
    <w:name w:val="ui-autocomplete"/>
    <w:basedOn w:val="10"/>
    <w:qFormat/>
    <w:uiPriority w:val="0"/>
  </w:style>
  <w:style w:type="character" w:customStyle="1" w:styleId="34">
    <w:name w:val="ui-column-title"/>
    <w:basedOn w:val="10"/>
    <w:qFormat/>
    <w:uiPriority w:val="0"/>
  </w:style>
  <w:style w:type="character" w:customStyle="1" w:styleId="35">
    <w:name w:val="ui-icon43"/>
    <w:basedOn w:val="10"/>
    <w:qFormat/>
    <w:uiPriority w:val="0"/>
  </w:style>
  <w:style w:type="paragraph" w:customStyle="1" w:styleId="3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640" w:lineRule="atLeast"/>
      <w:jc w:val="center"/>
    </w:pPr>
    <w:rPr>
      <w:rFonts w:eastAsia="方正小标宋_GBK"/>
      <w:sz w:val="44"/>
    </w:rPr>
  </w:style>
  <w:style w:type="character" w:customStyle="1" w:styleId="37">
    <w:name w:val="批注文字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38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912</Characters>
  <Lines>25</Lines>
  <Paragraphs>7</Paragraphs>
  <TotalTime>17</TotalTime>
  <ScaleCrop>false</ScaleCrop>
  <LinksUpToDate>false</LinksUpToDate>
  <CharactersWithSpaces>914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2023-05-19T06:56:00Z</dcterms:created>
  <dc:creator>Sun</dc:creator>
  <cp:lastModifiedBy>黄熠</cp:lastModifiedBy>
  <cp:lastPrinted>2023-05-19T07:46:00Z</cp:lastPrinted>
  <dcterms:modified xsi:type="dcterms:W3CDTF">2023-05-22T02:37:28Z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CD7CB1760FED4F62A69EDF701CE25652_13</vt:lpwstr>
  </property>
</Properties>
</file>