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0" w:lineRule="exact"/>
        <w:jc w:val="left"/>
        <w:rPr>
          <w:rFonts w:hint="eastAsia" w:ascii="宋体" w:hAnsi="宋体"/>
          <w:color w:val="auto"/>
          <w:kern w:val="0"/>
          <w:sz w:val="21"/>
          <w:szCs w:val="21"/>
          <w:highlight w:val="none"/>
          <w:lang w:val="en-US" w:eastAsia="zh-CN"/>
        </w:rPr>
      </w:pPr>
      <w:r>
        <w:rPr>
          <w:rFonts w:hint="eastAsia" w:ascii="方正小标宋简体" w:eastAsia="方正小标宋简体"/>
          <w:bCs/>
          <w:color w:val="auto"/>
          <w:kern w:val="0"/>
          <w:sz w:val="30"/>
          <w:szCs w:val="30"/>
          <w:highlight w:val="none"/>
          <w:lang w:val="en-US" w:eastAsia="zh-CN"/>
        </w:rPr>
        <w:t>附件3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color w:val="auto"/>
          <w:kern w:val="0"/>
          <w:sz w:val="30"/>
          <w:szCs w:val="30"/>
          <w:highlight w:val="none"/>
        </w:rPr>
      </w:pPr>
      <w:r>
        <w:rPr>
          <w:rFonts w:hint="eastAsia" w:ascii="方正小标宋简体" w:eastAsia="方正小标宋简体"/>
          <w:bCs/>
          <w:color w:val="auto"/>
          <w:kern w:val="0"/>
          <w:sz w:val="30"/>
          <w:szCs w:val="30"/>
          <w:highlight w:val="none"/>
        </w:rPr>
        <w:t>无锡市</w:t>
      </w:r>
      <w:r>
        <w:rPr>
          <w:rFonts w:hint="eastAsia" w:ascii="方正小标宋简体" w:eastAsia="方正小标宋简体"/>
          <w:bCs/>
          <w:color w:val="auto"/>
          <w:kern w:val="0"/>
          <w:sz w:val="30"/>
          <w:szCs w:val="30"/>
          <w:highlight w:val="none"/>
          <w:lang w:val="en-US" w:eastAsia="zh-CN"/>
        </w:rPr>
        <w:t>房建类</w:t>
      </w:r>
      <w:r>
        <w:rPr>
          <w:rFonts w:hint="eastAsia" w:ascii="方正小标宋简体" w:eastAsia="方正小标宋简体"/>
          <w:bCs/>
          <w:color w:val="auto"/>
          <w:kern w:val="0"/>
          <w:sz w:val="30"/>
          <w:szCs w:val="30"/>
          <w:highlight w:val="none"/>
        </w:rPr>
        <w:t>建筑</w:t>
      </w:r>
      <w:r>
        <w:rPr>
          <w:rFonts w:hint="eastAsia" w:ascii="方正小标宋简体" w:eastAsia="方正小标宋简体"/>
          <w:bCs/>
          <w:color w:val="auto"/>
          <w:kern w:val="0"/>
          <w:sz w:val="30"/>
          <w:szCs w:val="30"/>
          <w:highlight w:val="none"/>
          <w:lang w:val="en-US" w:eastAsia="zh-CN"/>
        </w:rPr>
        <w:t>施工</w:t>
      </w:r>
      <w:r>
        <w:rPr>
          <w:rFonts w:hint="eastAsia" w:ascii="方正小标宋简体" w:eastAsia="方正小标宋简体"/>
          <w:bCs/>
          <w:color w:val="auto"/>
          <w:kern w:val="0"/>
          <w:sz w:val="30"/>
          <w:szCs w:val="30"/>
          <w:highlight w:val="none"/>
        </w:rPr>
        <w:t>企业综合考核用表</w:t>
      </w:r>
      <w:r>
        <w:rPr>
          <w:rFonts w:hint="eastAsia" w:ascii="方正小标宋简体" w:eastAsia="方正小标宋简体"/>
          <w:bCs/>
          <w:color w:val="auto"/>
          <w:kern w:val="0"/>
          <w:sz w:val="30"/>
          <w:szCs w:val="30"/>
          <w:highlight w:val="none"/>
          <w:lang w:val="en-US" w:eastAsia="zh-CN"/>
        </w:rPr>
        <w:t>之三</w:t>
      </w:r>
      <w:r>
        <w:rPr>
          <w:rFonts w:hint="eastAsia" w:ascii="方正小标宋简体" w:eastAsia="方正小标宋简体"/>
          <w:color w:val="auto"/>
          <w:kern w:val="0"/>
          <w:sz w:val="30"/>
          <w:szCs w:val="30"/>
          <w:highlight w:val="none"/>
        </w:rPr>
        <w:t>（</w:t>
      </w:r>
      <w:r>
        <w:rPr>
          <w:rFonts w:ascii="方正小标宋简体" w:eastAsia="方正小标宋简体"/>
          <w:bCs/>
          <w:color w:val="auto"/>
          <w:kern w:val="0"/>
          <w:sz w:val="30"/>
          <w:szCs w:val="30"/>
        </w:rPr>
        <w:t>工程质量</w:t>
      </w:r>
      <w:r>
        <w:rPr>
          <w:rFonts w:hint="eastAsia" w:ascii="方正小标宋简体" w:eastAsia="方正小标宋简体"/>
          <w:color w:val="auto"/>
          <w:kern w:val="0"/>
          <w:sz w:val="30"/>
          <w:szCs w:val="30"/>
          <w:highlight w:val="none"/>
        </w:rPr>
        <w:t>）</w:t>
      </w:r>
    </w:p>
    <w:p>
      <w:pPr>
        <w:adjustRightInd w:val="0"/>
        <w:snapToGrid w:val="0"/>
        <w:spacing w:line="570" w:lineRule="exact"/>
        <w:rPr>
          <w:b/>
          <w:bCs/>
          <w:kern w:val="0"/>
          <w:sz w:val="18"/>
          <w:szCs w:val="18"/>
        </w:rPr>
      </w:pPr>
      <w:r>
        <w:rPr>
          <w:bCs/>
          <w:kern w:val="0"/>
          <w:sz w:val="18"/>
          <w:szCs w:val="18"/>
        </w:rPr>
        <w:t xml:space="preserve">项目编号                                 </w:t>
      </w:r>
      <w:r>
        <w:rPr>
          <w:rFonts w:hint="eastAsia"/>
          <w:bCs/>
          <w:kern w:val="0"/>
          <w:sz w:val="18"/>
          <w:szCs w:val="18"/>
        </w:rPr>
        <w:t>抽</w:t>
      </w:r>
      <w:r>
        <w:rPr>
          <w:bCs/>
          <w:kern w:val="0"/>
          <w:sz w:val="18"/>
          <w:szCs w:val="18"/>
        </w:rPr>
        <w:t>查</w:t>
      </w:r>
      <w:r>
        <w:rPr>
          <w:rFonts w:hint="eastAsia"/>
          <w:bCs/>
          <w:kern w:val="0"/>
          <w:sz w:val="18"/>
          <w:szCs w:val="18"/>
        </w:rPr>
        <w:t>部位</w:t>
      </w:r>
      <w:r>
        <w:rPr>
          <w:bCs/>
          <w:kern w:val="0"/>
          <w:sz w:val="18"/>
          <w:szCs w:val="18"/>
        </w:rPr>
        <w:t>：</w:t>
      </w:r>
    </w:p>
    <w:tbl>
      <w:tblPr>
        <w:tblStyle w:val="2"/>
        <w:tblW w:w="89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3"/>
        <w:gridCol w:w="1028"/>
        <w:gridCol w:w="5055"/>
        <w:gridCol w:w="540"/>
        <w:gridCol w:w="525"/>
        <w:gridCol w:w="14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ascii="宋体" w:hAnsi="宋体"/>
                <w:kern w:val="0"/>
                <w:sz w:val="18"/>
                <w:szCs w:val="18"/>
              </w:rPr>
              <w:t>序号</w:t>
            </w:r>
          </w:p>
        </w:tc>
        <w:tc>
          <w:tcPr>
            <w:tcW w:w="1028"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ascii="宋体" w:hAnsi="宋体"/>
                <w:kern w:val="0"/>
                <w:sz w:val="18"/>
                <w:szCs w:val="18"/>
              </w:rPr>
              <w:t>检查项目</w:t>
            </w: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ascii="宋体" w:hAnsi="宋体"/>
                <w:kern w:val="0"/>
                <w:sz w:val="18"/>
                <w:szCs w:val="18"/>
              </w:rPr>
              <w:t>检查内容及扣分办法</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hint="eastAsia" w:ascii="宋体" w:hAnsi="宋体"/>
                <w:kern w:val="0"/>
                <w:sz w:val="18"/>
                <w:szCs w:val="18"/>
              </w:rPr>
              <w:t>扣分</w:t>
            </w:r>
          </w:p>
        </w:tc>
        <w:tc>
          <w:tcPr>
            <w:tcW w:w="525"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hint="eastAsia" w:ascii="宋体" w:hAnsi="宋体"/>
                <w:kern w:val="0"/>
                <w:sz w:val="18"/>
                <w:szCs w:val="18"/>
              </w:rPr>
              <w:t>得分</w:t>
            </w:r>
          </w:p>
        </w:tc>
        <w:tc>
          <w:tcPr>
            <w:tcW w:w="1445"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hint="eastAsia" w:ascii="宋体" w:hAnsi="宋体"/>
                <w:kern w:val="0"/>
                <w:sz w:val="18"/>
                <w:szCs w:val="18"/>
              </w:rPr>
              <w:t>扣分/加分</w:t>
            </w:r>
          </w:p>
          <w:p>
            <w:pPr>
              <w:adjustRightInd w:val="0"/>
              <w:snapToGrid w:val="0"/>
              <w:jc w:val="center"/>
              <w:rPr>
                <w:rFonts w:ascii="宋体" w:hAnsi="宋体"/>
                <w:kern w:val="0"/>
                <w:sz w:val="18"/>
                <w:szCs w:val="18"/>
              </w:rPr>
            </w:pPr>
            <w:r>
              <w:rPr>
                <w:rFonts w:ascii="宋体" w:hAnsi="宋体"/>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3" w:type="dxa"/>
            <w:vMerge w:val="restart"/>
            <w:tcBorders>
              <w:top w:val="nil"/>
              <w:left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ascii="宋体" w:hAnsi="宋体"/>
                <w:kern w:val="0"/>
                <w:sz w:val="18"/>
                <w:szCs w:val="18"/>
              </w:rPr>
              <w:t>1</w:t>
            </w:r>
          </w:p>
        </w:tc>
        <w:tc>
          <w:tcPr>
            <w:tcW w:w="1028" w:type="dxa"/>
            <w:vMerge w:val="restart"/>
            <w:tcBorders>
              <w:top w:val="single" w:color="auto" w:sz="4" w:space="0"/>
              <w:left w:val="nil"/>
              <w:right w:val="single" w:color="auto" w:sz="4" w:space="0"/>
            </w:tcBorders>
            <w:noWrap/>
            <w:vAlign w:val="center"/>
          </w:tcPr>
          <w:p>
            <w:pPr>
              <w:adjustRightInd w:val="0"/>
              <w:snapToGrid w:val="0"/>
              <w:jc w:val="center"/>
              <w:rPr>
                <w:rFonts w:ascii="宋体" w:hAnsi="宋体"/>
                <w:kern w:val="0"/>
                <w:sz w:val="18"/>
                <w:szCs w:val="18"/>
              </w:rPr>
            </w:pPr>
            <w:r>
              <w:rPr>
                <w:rFonts w:ascii="宋体" w:hAnsi="宋体"/>
                <w:sz w:val="18"/>
                <w:szCs w:val="18"/>
              </w:rPr>
              <w:t>质量</w:t>
            </w:r>
            <w:r>
              <w:rPr>
                <w:rFonts w:hint="eastAsia" w:ascii="宋体" w:hAnsi="宋体"/>
                <w:sz w:val="18"/>
                <w:szCs w:val="18"/>
              </w:rPr>
              <w:t>行为</w:t>
            </w:r>
            <w:r>
              <w:rPr>
                <w:rFonts w:ascii="宋体" w:hAnsi="宋体"/>
                <w:kern w:val="0"/>
                <w:sz w:val="18"/>
                <w:szCs w:val="18"/>
              </w:rPr>
              <w:t>（</w:t>
            </w:r>
            <w:r>
              <w:rPr>
                <w:rFonts w:hint="eastAsia" w:ascii="宋体" w:hAnsi="宋体"/>
                <w:kern w:val="0"/>
                <w:sz w:val="18"/>
                <w:szCs w:val="18"/>
              </w:rPr>
              <w:t>56</w:t>
            </w:r>
            <w:r>
              <w:rPr>
                <w:rFonts w:ascii="宋体" w:hAnsi="宋体"/>
                <w:kern w:val="0"/>
                <w:sz w:val="18"/>
                <w:szCs w:val="18"/>
              </w:rPr>
              <w:t>分）</w:t>
            </w: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cs="宋体"/>
                <w:kern w:val="0"/>
                <w:sz w:val="18"/>
                <w:szCs w:val="18"/>
              </w:rPr>
              <w:t>未按规定配备项目部管理人员（4分，少一个扣2分）。</w:t>
            </w:r>
          </w:p>
        </w:tc>
        <w:tc>
          <w:tcPr>
            <w:tcW w:w="54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nil"/>
              <w:right w:val="single" w:color="auto" w:sz="4" w:space="0"/>
            </w:tcBorders>
            <w:noWrap/>
            <w:vAlign w:val="center"/>
          </w:tcP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cs="宋体"/>
                <w:kern w:val="0"/>
                <w:sz w:val="18"/>
                <w:szCs w:val="18"/>
              </w:rPr>
              <w:t>工程项目管理人员未按规定履行职责，检查会议记录、验收记录等相关签字文件，对照实名制系统检查签字人员当天是否在岗(10分，发现一处不符合项目经理4分，其他人员2分)。</w:t>
            </w:r>
            <w:r>
              <w:rPr>
                <w:rFonts w:ascii="宋体" w:hAnsi="宋体"/>
                <w:kern w:val="0"/>
                <w:sz w:val="18"/>
                <w:szCs w:val="18"/>
              </w:rPr>
              <w:t xml:space="preserve"> </w:t>
            </w:r>
          </w:p>
        </w:tc>
        <w:tc>
          <w:tcPr>
            <w:tcW w:w="54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nil"/>
              <w:right w:val="single" w:color="auto" w:sz="4" w:space="0"/>
            </w:tcBorders>
            <w:noWrap/>
            <w:vAlign w:val="center"/>
          </w:tcP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cs="宋体"/>
                <w:kern w:val="0"/>
                <w:sz w:val="18"/>
                <w:szCs w:val="18"/>
              </w:rPr>
              <w:t>工程采用的主要材料、半成品、成品、建筑构配件、器具和设备未按规范进行进场检验；钢筋连接试件不能证明现场取样的；按规范、设计文件等需进行复验而未进行复验的；未经监理工程师验收认可的；未经检验或者检验不合格擅自使用的；出现不合格报告未按规定进行处理的。（10分，每起2分）</w:t>
            </w:r>
          </w:p>
        </w:tc>
        <w:tc>
          <w:tcPr>
            <w:tcW w:w="54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nil"/>
              <w:right w:val="single" w:color="auto" w:sz="4" w:space="0"/>
            </w:tcBorders>
            <w:noWrap/>
            <w:vAlign w:val="center"/>
          </w:tcP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cs="宋体"/>
                <w:kern w:val="0"/>
                <w:sz w:val="18"/>
                <w:szCs w:val="18"/>
              </w:rPr>
              <w:t>未严格按规定进行工序把关，上道工序未经验收合格进入下道工序施工；现场未及时、同步收集整理施工、质量控制资料；进场记录、原材料质保书、复试报告应对应齐全，质量控制资料不符合有关规定要求或弄虚作假的（10分，每起2分）。</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nil"/>
              <w:right w:val="single" w:color="auto" w:sz="4" w:space="0"/>
            </w:tcBorders>
            <w:noWrap/>
            <w:vAlign w:val="center"/>
          </w:tcP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cs="宋体"/>
                <w:kern w:val="0"/>
                <w:sz w:val="18"/>
                <w:szCs w:val="18"/>
              </w:rPr>
              <w:t>施工图设计文件未经审查批准擅自使用的；现场未提供审图意见回复及对应设计变更的。（2分）涉及工程建设强制性标准或者地基基础和主体结构安全性的变更未送原审查机构审查就施工的（2分）。</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nil"/>
              <w:right w:val="single" w:color="auto" w:sz="4" w:space="0"/>
            </w:tcBorders>
            <w:noWrap/>
            <w:vAlign w:val="center"/>
          </w:tcP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cs="宋体"/>
                <w:kern w:val="0"/>
                <w:sz w:val="18"/>
                <w:szCs w:val="18"/>
              </w:rPr>
              <w:t>采用无标准依据的或者规定淘汰的工艺、技术，或者“四新技术”应用没有进行专家论证（4分）。</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nil"/>
              <w:right w:val="single" w:color="auto" w:sz="4" w:space="0"/>
            </w:tcBorders>
            <w:noWrap/>
            <w:vAlign w:val="center"/>
          </w:tcP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cs="宋体"/>
                <w:kern w:val="0"/>
                <w:sz w:val="18"/>
                <w:szCs w:val="18"/>
              </w:rPr>
            </w:pPr>
            <w:r>
              <w:rPr>
                <w:rFonts w:ascii="宋体" w:eastAsia="宋体"/>
                <w:kern w:val="0"/>
                <w:sz w:val="18"/>
                <w:szCs w:val="18"/>
              </w:rPr>
              <w:t>抗拔桩后连接锚固钢筋没有做原位钢筋机械连接接头承载力检验的</w:t>
            </w:r>
            <w:r>
              <w:rPr>
                <w:rFonts w:hint="eastAsia" w:ascii="宋体" w:eastAsia="宋体"/>
                <w:kern w:val="0"/>
                <w:sz w:val="18"/>
                <w:szCs w:val="18"/>
              </w:rPr>
              <w:t>（4分）。</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nil"/>
              <w:right w:val="single" w:color="auto" w:sz="4" w:space="0"/>
            </w:tcBorders>
            <w:noWrap/>
            <w:vAlign w:val="center"/>
          </w:tcPr>
          <w:p/>
        </w:tc>
        <w:tc>
          <w:tcPr>
            <w:tcW w:w="5055" w:type="dxa"/>
            <w:tcBorders>
              <w:top w:val="single" w:color="auto" w:sz="4" w:space="0"/>
              <w:left w:val="nil"/>
              <w:right w:val="single" w:color="auto" w:sz="4" w:space="0"/>
            </w:tcBorders>
            <w:noWrap/>
            <w:vAlign w:val="center"/>
          </w:tcPr>
          <w:p>
            <w:pPr>
              <w:adjustRightInd w:val="0"/>
              <w:snapToGrid w:val="0"/>
              <w:rPr>
                <w:rFonts w:ascii="宋体" w:hAnsi="宋体"/>
                <w:kern w:val="0"/>
                <w:sz w:val="18"/>
                <w:szCs w:val="18"/>
              </w:rPr>
            </w:pPr>
            <w:r>
              <w:rPr>
                <w:rFonts w:hint="eastAsia" w:ascii="宋体" w:hAnsi="宋体" w:cs="宋体"/>
                <w:kern w:val="0"/>
                <w:sz w:val="18"/>
                <w:szCs w:val="18"/>
              </w:rPr>
              <w:t>施工单位没有执行到混凝土公司抽查制度，不能提供相关书面抽查记录（2分）。标养箱、标养室温湿度不符合规范要求的（2分）。试件、试块管理情况混乱的（2分）。</w:t>
            </w:r>
          </w:p>
        </w:tc>
        <w:tc>
          <w:tcPr>
            <w:tcW w:w="540" w:type="dxa"/>
            <w:tcBorders>
              <w:top w:val="single" w:color="auto" w:sz="4" w:space="0"/>
              <w:left w:val="nil"/>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73" w:type="dxa"/>
            <w:tcBorders>
              <w:left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028" w:type="dxa"/>
            <w:tcBorders>
              <w:left w:val="nil"/>
              <w:right w:val="single" w:color="auto" w:sz="4" w:space="0"/>
            </w:tcBorders>
            <w:noWrap/>
            <w:vAlign w:val="center"/>
          </w:tcPr>
          <w:p>
            <w:pPr>
              <w:adjustRightInd w:val="0"/>
              <w:snapToGrid w:val="0"/>
              <w:ind w:firstLine="180" w:firstLineChars="100"/>
              <w:jc w:val="center"/>
              <w:rPr>
                <w:rFonts w:ascii="宋体" w:hAnsi="宋体"/>
                <w:kern w:val="0"/>
                <w:sz w:val="18"/>
                <w:szCs w:val="18"/>
              </w:rPr>
            </w:pPr>
          </w:p>
        </w:tc>
        <w:tc>
          <w:tcPr>
            <w:tcW w:w="5055" w:type="dxa"/>
            <w:tcBorders>
              <w:top w:val="single" w:color="auto" w:sz="4" w:space="0"/>
              <w:left w:val="nil"/>
              <w:right w:val="single" w:color="auto" w:sz="4" w:space="0"/>
            </w:tcBorders>
            <w:noWrap/>
            <w:vAlign w:val="center"/>
          </w:tcPr>
          <w:p>
            <w:pPr>
              <w:adjustRightInd w:val="0"/>
              <w:snapToGrid w:val="0"/>
              <w:rPr>
                <w:rFonts w:ascii="宋体" w:hAnsi="宋体" w:cs="宋体"/>
                <w:kern w:val="0"/>
                <w:sz w:val="18"/>
                <w:szCs w:val="18"/>
              </w:rPr>
            </w:pPr>
            <w:r>
              <w:rPr>
                <w:rFonts w:hint="eastAsia" w:ascii="宋体" w:hAnsi="宋体" w:cs="宋体"/>
                <w:kern w:val="0"/>
                <w:sz w:val="18"/>
                <w:szCs w:val="18"/>
              </w:rPr>
              <w:t xml:space="preserve">未实施举牌验收制度（4分） </w:t>
            </w:r>
          </w:p>
        </w:tc>
        <w:tc>
          <w:tcPr>
            <w:tcW w:w="540" w:type="dxa"/>
            <w:tcBorders>
              <w:top w:val="single" w:color="auto" w:sz="4" w:space="0"/>
              <w:left w:val="nil"/>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373" w:type="dxa"/>
            <w:vMerge w:val="restart"/>
            <w:tcBorders>
              <w:top w:val="single" w:color="auto" w:sz="4" w:space="0"/>
              <w:left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hint="eastAsia" w:ascii="宋体" w:hAnsi="宋体"/>
                <w:kern w:val="0"/>
                <w:sz w:val="18"/>
                <w:szCs w:val="18"/>
              </w:rPr>
              <w:t>2</w:t>
            </w:r>
          </w:p>
        </w:tc>
        <w:tc>
          <w:tcPr>
            <w:tcW w:w="1028" w:type="dxa"/>
            <w:vMerge w:val="restart"/>
            <w:tcBorders>
              <w:top w:val="single" w:color="auto" w:sz="4" w:space="0"/>
              <w:left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ascii="宋体" w:hAnsi="宋体"/>
                <w:sz w:val="18"/>
                <w:szCs w:val="18"/>
              </w:rPr>
              <w:t>实</w:t>
            </w:r>
            <w:r>
              <w:rPr>
                <w:rFonts w:hint="eastAsia" w:ascii="宋体" w:hAnsi="宋体"/>
                <w:sz w:val="18"/>
                <w:szCs w:val="18"/>
              </w:rPr>
              <w:t>体</w:t>
            </w:r>
            <w:r>
              <w:rPr>
                <w:rFonts w:ascii="宋体" w:hAnsi="宋体"/>
                <w:sz w:val="18"/>
                <w:szCs w:val="18"/>
              </w:rPr>
              <w:t>质量（</w:t>
            </w:r>
            <w:r>
              <w:rPr>
                <w:rFonts w:hint="eastAsia" w:ascii="宋体" w:hAnsi="宋体"/>
                <w:sz w:val="18"/>
                <w:szCs w:val="18"/>
              </w:rPr>
              <w:t>34</w:t>
            </w:r>
            <w:r>
              <w:rPr>
                <w:rFonts w:ascii="宋体" w:hAnsi="宋体"/>
                <w:sz w:val="18"/>
                <w:szCs w:val="18"/>
              </w:rPr>
              <w:t>分）</w:t>
            </w: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kern w:val="0"/>
                <w:sz w:val="18"/>
                <w:szCs w:val="18"/>
              </w:rPr>
              <w:t>未按照审查合格的施工图设计文件、施工组织设计、专项施工方案施工（10分，每项5分）。</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nil"/>
              <w:bottom w:val="single" w:color="auto" w:sz="4" w:space="0"/>
              <w:right w:val="single" w:color="auto" w:sz="4" w:space="0"/>
            </w:tcBorders>
            <w:shd w:val="clear" w:color="auto" w:fill="auto"/>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nil"/>
              <w:bottom w:val="single" w:color="auto" w:sz="4" w:space="0"/>
              <w:right w:val="single" w:color="auto" w:sz="4" w:space="0"/>
            </w:tcBorders>
            <w:shd w:val="clear" w:color="auto" w:fill="auto"/>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single" w:color="auto" w:sz="4" w:space="0"/>
              <w:right w:val="single" w:color="auto" w:sz="4" w:space="0"/>
            </w:tcBorders>
            <w:noWrap/>
            <w:vAlign w:val="center"/>
          </w:tcP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kern w:val="0"/>
                <w:sz w:val="18"/>
                <w:szCs w:val="18"/>
              </w:rPr>
              <w:t>违反工程建设强制性条文（10分，每次5分）。</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nil"/>
              <w:bottom w:val="single" w:color="auto" w:sz="4" w:space="0"/>
              <w:right w:val="single" w:color="auto" w:sz="4" w:space="0"/>
            </w:tcBorders>
            <w:shd w:val="clear" w:color="auto" w:fill="auto"/>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nil"/>
              <w:bottom w:val="single" w:color="auto" w:sz="4" w:space="0"/>
              <w:right w:val="single" w:color="auto" w:sz="4" w:space="0"/>
            </w:tcBorders>
            <w:shd w:val="clear" w:color="auto" w:fill="auto"/>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single" w:color="auto" w:sz="4" w:space="0"/>
              <w:right w:val="single" w:color="auto" w:sz="4" w:space="0"/>
            </w:tcBorders>
            <w:noWrap/>
            <w:vAlign w:val="center"/>
          </w:tcP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kern w:val="0"/>
                <w:sz w:val="18"/>
                <w:szCs w:val="18"/>
              </w:rPr>
              <w:t>违反一般性工程建设相关规范、标准（10分，每次2分）。</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nil"/>
              <w:bottom w:val="single" w:color="auto" w:sz="4" w:space="0"/>
              <w:right w:val="single" w:color="auto" w:sz="4" w:space="0"/>
            </w:tcBorders>
            <w:shd w:val="clear" w:color="auto" w:fill="auto"/>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nil"/>
              <w:bottom w:val="single" w:color="auto" w:sz="4" w:space="0"/>
              <w:right w:val="single" w:color="auto" w:sz="4" w:space="0"/>
            </w:tcBorders>
            <w:shd w:val="clear" w:color="auto" w:fill="auto"/>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single" w:color="auto" w:sz="4" w:space="0"/>
              <w:right w:val="single" w:color="auto" w:sz="4" w:space="0"/>
            </w:tcBorders>
            <w:noWrap/>
            <w:vAlign w:val="center"/>
          </w:tcPr>
          <w:p/>
        </w:tc>
        <w:tc>
          <w:tcPr>
            <w:tcW w:w="5055" w:type="dxa"/>
            <w:tcBorders>
              <w:top w:val="single" w:color="auto" w:sz="4" w:space="0"/>
              <w:left w:val="nil"/>
              <w:right w:val="single" w:color="auto" w:sz="4" w:space="0"/>
            </w:tcBorders>
            <w:noWrap/>
            <w:vAlign w:val="center"/>
          </w:tcPr>
          <w:p>
            <w:pPr>
              <w:adjustRightInd w:val="0"/>
              <w:snapToGrid w:val="0"/>
              <w:rPr>
                <w:rFonts w:ascii="宋体" w:hAnsi="宋体"/>
                <w:kern w:val="0"/>
                <w:sz w:val="18"/>
                <w:szCs w:val="18"/>
              </w:rPr>
            </w:pPr>
            <w:r>
              <w:rPr>
                <w:rFonts w:hint="eastAsia" w:ascii="宋体" w:hAnsi="宋体"/>
                <w:kern w:val="0"/>
                <w:sz w:val="18"/>
                <w:szCs w:val="18"/>
              </w:rPr>
              <w:t>观感质量非常好不扣分；总体评价良好（扣1分）；观感质量总体评价一般（扣2分）；观感质量总体评价差（扣4分）。</w:t>
            </w:r>
          </w:p>
        </w:tc>
        <w:tc>
          <w:tcPr>
            <w:tcW w:w="540" w:type="dxa"/>
            <w:tcBorders>
              <w:top w:val="single" w:color="auto" w:sz="4" w:space="0"/>
              <w:left w:val="nil"/>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nil"/>
              <w:right w:val="single" w:color="auto" w:sz="4" w:space="0"/>
            </w:tcBorders>
            <w:shd w:val="clear" w:color="auto" w:fill="auto"/>
            <w:noWrap/>
            <w:vAlign w:val="center"/>
          </w:tcPr>
          <w:p>
            <w:pPr>
              <w:adjustRightInd w:val="0"/>
              <w:snapToGrid w:val="0"/>
              <w:jc w:val="center"/>
              <w:rPr>
                <w:rFonts w:ascii="宋体" w:hAnsi="宋体"/>
                <w:kern w:val="0"/>
                <w:sz w:val="18"/>
                <w:szCs w:val="18"/>
              </w:rPr>
            </w:pPr>
          </w:p>
          <w:p>
            <w:pPr>
              <w:adjustRightInd w:val="0"/>
              <w:snapToGrid w:val="0"/>
              <w:jc w:val="center"/>
              <w:rPr>
                <w:rFonts w:ascii="宋体" w:hAnsi="宋体"/>
                <w:kern w:val="0"/>
                <w:sz w:val="18"/>
                <w:szCs w:val="18"/>
              </w:rPr>
            </w:pPr>
          </w:p>
        </w:tc>
        <w:tc>
          <w:tcPr>
            <w:tcW w:w="1445" w:type="dxa"/>
            <w:tcBorders>
              <w:top w:val="single" w:color="auto" w:sz="4" w:space="0"/>
              <w:left w:val="nil"/>
              <w:bottom w:val="single" w:color="auto" w:sz="4" w:space="0"/>
              <w:right w:val="single" w:color="auto" w:sz="4" w:space="0"/>
            </w:tcBorders>
            <w:shd w:val="clear" w:color="auto" w:fill="auto"/>
            <w:noWrap/>
            <w:vAlign w:val="center"/>
          </w:tcPr>
          <w:p>
            <w:pPr>
              <w:adjustRightInd w:val="0"/>
              <w:snapToGrid w:val="0"/>
              <w:jc w:val="center"/>
              <w:rPr>
                <w:rFonts w:ascii="宋体" w:hAnsi="宋体"/>
                <w:kern w:val="0"/>
                <w:sz w:val="18"/>
                <w:szCs w:val="18"/>
              </w:rPr>
            </w:pPr>
          </w:p>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73" w:type="dxa"/>
            <w:tcBorders>
              <w:top w:val="single" w:color="auto" w:sz="4" w:space="0"/>
              <w:left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hint="eastAsia" w:ascii="宋体" w:hAnsi="宋体"/>
                <w:kern w:val="0"/>
                <w:sz w:val="18"/>
                <w:szCs w:val="18"/>
              </w:rPr>
              <w:t>3</w:t>
            </w:r>
          </w:p>
        </w:tc>
        <w:tc>
          <w:tcPr>
            <w:tcW w:w="1028"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hint="eastAsia" w:ascii="宋体" w:hAnsi="宋体"/>
                <w:kern w:val="0"/>
                <w:sz w:val="18"/>
                <w:szCs w:val="18"/>
              </w:rPr>
              <w:t>质量通病、样板引路</w:t>
            </w:r>
          </w:p>
          <w:p>
            <w:pPr>
              <w:adjustRightInd w:val="0"/>
              <w:snapToGrid w:val="0"/>
              <w:jc w:val="center"/>
              <w:rPr>
                <w:rFonts w:ascii="宋体" w:hAnsi="宋体"/>
                <w:kern w:val="0"/>
                <w:sz w:val="18"/>
                <w:szCs w:val="18"/>
              </w:rPr>
            </w:pPr>
            <w:r>
              <w:rPr>
                <w:rFonts w:hint="eastAsia" w:ascii="宋体" w:hAnsi="宋体"/>
                <w:kern w:val="0"/>
                <w:sz w:val="18"/>
                <w:szCs w:val="18"/>
              </w:rPr>
              <w:t>（10分）</w:t>
            </w: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kern w:val="0"/>
                <w:sz w:val="18"/>
                <w:szCs w:val="18"/>
              </w:rPr>
              <w:t>未实施样板引路扣10分；外购样板扣6分；样板未按照现场设计图施工，但结构、防水、粉刷、机电安装齐全，扣2分；按图样板，种类齐全扣1分；按图做样板可以开现场会的项目不扣分。</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73" w:type="dxa"/>
            <w:vMerge w:val="restart"/>
            <w:tcBorders>
              <w:top w:val="single" w:color="auto" w:sz="4" w:space="0"/>
              <w:left w:val="single" w:color="auto" w:sz="4" w:space="0"/>
              <w:right w:val="single" w:color="auto" w:sz="4" w:space="0"/>
            </w:tcBorders>
            <w:noWrap/>
            <w:vAlign w:val="center"/>
          </w:tcPr>
          <w:p>
            <w:pPr>
              <w:adjustRightInd w:val="0"/>
              <w:snapToGrid w:val="0"/>
              <w:jc w:val="center"/>
              <w:rPr>
                <w:rFonts w:hint="eastAsia" w:ascii="宋体" w:hAnsi="宋体"/>
                <w:kern w:val="0"/>
                <w:sz w:val="18"/>
                <w:szCs w:val="18"/>
              </w:rPr>
            </w:pPr>
          </w:p>
          <w:p>
            <w:pPr>
              <w:adjustRightInd w:val="0"/>
              <w:snapToGrid w:val="0"/>
              <w:jc w:val="center"/>
              <w:rPr>
                <w:rFonts w:ascii="宋体" w:hAnsi="宋体"/>
                <w:kern w:val="0"/>
                <w:sz w:val="18"/>
                <w:szCs w:val="18"/>
              </w:rPr>
            </w:pPr>
            <w:r>
              <w:rPr>
                <w:rFonts w:hint="eastAsia" w:ascii="宋体" w:hAnsi="宋体"/>
                <w:kern w:val="0"/>
                <w:sz w:val="18"/>
                <w:szCs w:val="18"/>
              </w:rPr>
              <w:t>4</w:t>
            </w:r>
          </w:p>
          <w:p>
            <w:pPr>
              <w:adjustRightInd w:val="0"/>
              <w:snapToGrid w:val="0"/>
              <w:jc w:val="center"/>
              <w:rPr>
                <w:rFonts w:ascii="宋体" w:hAnsi="宋体"/>
                <w:kern w:val="0"/>
                <w:sz w:val="18"/>
                <w:szCs w:val="18"/>
              </w:rPr>
            </w:pPr>
          </w:p>
        </w:tc>
        <w:tc>
          <w:tcPr>
            <w:tcW w:w="1028" w:type="dxa"/>
            <w:vMerge w:val="restart"/>
            <w:tcBorders>
              <w:top w:val="single" w:color="auto" w:sz="4" w:space="0"/>
              <w:left w:val="nil"/>
              <w:right w:val="single" w:color="auto" w:sz="4" w:space="0"/>
            </w:tcBorders>
            <w:noWrap/>
            <w:vAlign w:val="center"/>
          </w:tcPr>
          <w:p>
            <w:pPr>
              <w:adjustRightInd w:val="0"/>
              <w:snapToGrid w:val="0"/>
              <w:jc w:val="center"/>
              <w:rPr>
                <w:rFonts w:ascii="宋体" w:hAnsi="宋体"/>
                <w:kern w:val="0"/>
                <w:sz w:val="18"/>
                <w:szCs w:val="18"/>
              </w:rPr>
            </w:pPr>
            <w:r>
              <w:rPr>
                <w:rFonts w:hint="eastAsia" w:ascii="宋体" w:hAnsi="宋体"/>
                <w:kern w:val="0"/>
                <w:sz w:val="18"/>
                <w:szCs w:val="18"/>
              </w:rPr>
              <w:t>加分项</w:t>
            </w: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kern w:val="0"/>
                <w:sz w:val="18"/>
                <w:szCs w:val="18"/>
              </w:rPr>
              <w:t>执行检测综合报告制度加2分</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73" w:type="dxa"/>
            <w:vMerge w:val="continue"/>
            <w:tcBorders>
              <w:left w:val="single" w:color="auto" w:sz="4" w:space="0"/>
              <w:right w:val="single" w:color="auto" w:sz="4" w:space="0"/>
            </w:tcBorders>
            <w:noWrap/>
            <w:vAlign w:val="center"/>
          </w:tcPr>
          <w:p/>
        </w:tc>
        <w:tc>
          <w:tcPr>
            <w:tcW w:w="1028" w:type="dxa"/>
            <w:vMerge w:val="continue"/>
            <w:tcBorders>
              <w:left w:val="nil"/>
              <w:bottom w:val="single" w:color="auto" w:sz="4" w:space="0"/>
              <w:right w:val="single" w:color="auto" w:sz="4" w:space="0"/>
            </w:tcBorders>
            <w:noWrap/>
            <w:vAlign w:val="center"/>
          </w:tcPr>
          <w:p/>
        </w:tc>
        <w:tc>
          <w:tcPr>
            <w:tcW w:w="5055" w:type="dxa"/>
            <w:tcBorders>
              <w:top w:val="single" w:color="auto" w:sz="4" w:space="0"/>
              <w:left w:val="nil"/>
              <w:bottom w:val="single" w:color="auto" w:sz="4" w:space="0"/>
              <w:right w:val="single" w:color="auto" w:sz="4" w:space="0"/>
            </w:tcBorders>
            <w:noWrap/>
            <w:vAlign w:val="center"/>
          </w:tcPr>
          <w:p>
            <w:pPr>
              <w:adjustRightInd w:val="0"/>
              <w:snapToGrid w:val="0"/>
              <w:rPr>
                <w:rFonts w:ascii="宋体" w:hAnsi="宋体"/>
                <w:kern w:val="0"/>
                <w:sz w:val="18"/>
                <w:szCs w:val="18"/>
              </w:rPr>
            </w:pPr>
            <w:r>
              <w:rPr>
                <w:rFonts w:hint="eastAsia" w:ascii="宋体" w:hAnsi="宋体" w:cs="宋体"/>
                <w:kern w:val="0"/>
                <w:sz w:val="18"/>
                <w:szCs w:val="18"/>
              </w:rPr>
              <w:t>开展防渗漏治理活动加2分</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525"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c>
          <w:tcPr>
            <w:tcW w:w="1445"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tcW w:w="6456" w:type="dxa"/>
            <w:gridSpan w:val="3"/>
            <w:tcBorders>
              <w:top w:val="single" w:color="auto" w:sz="4" w:space="0"/>
              <w:left w:val="single" w:color="auto" w:sz="4" w:space="0"/>
              <w:bottom w:val="single" w:color="auto" w:sz="4" w:space="0"/>
              <w:right w:val="single" w:color="auto" w:sz="4" w:space="0"/>
            </w:tcBorders>
            <w:noWrap/>
            <w:vAlign w:val="center"/>
          </w:tcPr>
          <w:p>
            <w:pPr>
              <w:adjustRightInd w:val="0"/>
              <w:snapToGrid w:val="0"/>
              <w:ind w:firstLine="180" w:firstLineChars="100"/>
              <w:jc w:val="left"/>
              <w:rPr>
                <w:rFonts w:ascii="宋体" w:hAnsi="宋体"/>
                <w:kern w:val="0"/>
                <w:sz w:val="18"/>
                <w:szCs w:val="18"/>
              </w:rPr>
            </w:pPr>
            <w:r>
              <w:rPr>
                <w:rFonts w:ascii="宋体" w:hAnsi="宋体"/>
                <w:kern w:val="0"/>
                <w:sz w:val="18"/>
                <w:szCs w:val="18"/>
              </w:rPr>
              <w:t>被检查</w:t>
            </w:r>
            <w:r>
              <w:rPr>
                <w:rFonts w:hint="eastAsia" w:ascii="宋体" w:hAnsi="宋体"/>
                <w:kern w:val="0"/>
                <w:sz w:val="18"/>
                <w:szCs w:val="18"/>
              </w:rPr>
              <w:t>单位</w:t>
            </w:r>
          </w:p>
          <w:p>
            <w:pPr>
              <w:adjustRightInd w:val="0"/>
              <w:snapToGrid w:val="0"/>
              <w:jc w:val="left"/>
              <w:rPr>
                <w:rFonts w:ascii="宋体" w:hAnsi="宋体"/>
                <w:kern w:val="0"/>
                <w:sz w:val="18"/>
                <w:szCs w:val="18"/>
              </w:rPr>
            </w:pPr>
            <w:r>
              <w:rPr>
                <w:rFonts w:hint="eastAsia" w:ascii="宋体" w:hAnsi="宋体"/>
                <w:kern w:val="0"/>
                <w:sz w:val="18"/>
                <w:szCs w:val="18"/>
              </w:rPr>
              <w:t>项目负责人</w:t>
            </w:r>
            <w:r>
              <w:rPr>
                <w:rFonts w:ascii="宋体" w:hAnsi="宋体"/>
                <w:kern w:val="0"/>
                <w:sz w:val="18"/>
                <w:szCs w:val="18"/>
              </w:rPr>
              <w:t>签字：</w:t>
            </w:r>
          </w:p>
        </w:tc>
        <w:tc>
          <w:tcPr>
            <w:tcW w:w="540" w:type="dxa"/>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r>
              <w:rPr>
                <w:rFonts w:hint="eastAsia" w:ascii="宋体" w:hAnsi="宋体"/>
                <w:kern w:val="0"/>
                <w:sz w:val="18"/>
                <w:szCs w:val="18"/>
              </w:rPr>
              <w:t>总</w:t>
            </w:r>
          </w:p>
          <w:p>
            <w:pPr>
              <w:adjustRightInd w:val="0"/>
              <w:snapToGrid w:val="0"/>
              <w:jc w:val="center"/>
              <w:rPr>
                <w:rFonts w:ascii="宋体" w:hAnsi="宋体"/>
                <w:kern w:val="0"/>
                <w:sz w:val="18"/>
                <w:szCs w:val="18"/>
              </w:rPr>
            </w:pPr>
            <w:r>
              <w:rPr>
                <w:rFonts w:hint="eastAsia" w:ascii="宋体" w:hAnsi="宋体"/>
                <w:kern w:val="0"/>
                <w:sz w:val="18"/>
                <w:szCs w:val="18"/>
              </w:rPr>
              <w:t>得分</w:t>
            </w:r>
          </w:p>
        </w:tc>
        <w:tc>
          <w:tcPr>
            <w:tcW w:w="1970" w:type="dxa"/>
            <w:gridSpan w:val="2"/>
            <w:tcBorders>
              <w:top w:val="single" w:color="auto" w:sz="4" w:space="0"/>
              <w:left w:val="nil"/>
              <w:bottom w:val="single" w:color="auto" w:sz="4" w:space="0"/>
              <w:right w:val="single" w:color="auto" w:sz="4" w:space="0"/>
            </w:tcBorders>
            <w:noWrap/>
            <w:vAlign w:val="center"/>
          </w:tcPr>
          <w:p>
            <w:pPr>
              <w:adjustRightInd w:val="0"/>
              <w:snapToGrid w:val="0"/>
              <w:jc w:val="center"/>
              <w:rPr>
                <w:rFonts w:ascii="宋体" w:hAnsi="宋体"/>
                <w:kern w:val="0"/>
                <w:sz w:val="18"/>
                <w:szCs w:val="18"/>
              </w:rPr>
            </w:pPr>
          </w:p>
        </w:tc>
      </w:tr>
    </w:tbl>
    <w:p/>
    <w:sectPr>
      <w:pgSz w:w="11906" w:h="16838"/>
      <w:pgMar w:top="1134" w:right="1417" w:bottom="850"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jNWRiY2FjNjUyOGFkNzhjODM0ZWI2MjJhY2Y4Y2QifQ=="/>
  </w:docVars>
  <w:rsids>
    <w:rsidRoot w:val="00000000"/>
    <w:rsid w:val="78BB6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2022-08-23T01:03:11Z</dcterms:created>
  <dc:creator>daiya</dc:creator>
  <cp:lastModifiedBy>戴一昂</cp:lastModifiedBy>
  <dcterms:modified xsi:type="dcterms:W3CDTF">2022-08-23T01:06:11Z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5F78107A4C304FA59CC3D57078EF86A8</vt:lpwstr>
  </property>
</Properties>
</file>