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ind w:left="0" w:leftChars="0" w:right="0" w:rightChars="0" w:firstLine="5"/>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pPr>
        <w:keepNext w:val="0"/>
        <w:keepLines w:val="0"/>
        <w:pageBreakBefore w:val="0"/>
        <w:kinsoku/>
        <w:wordWrap/>
        <w:overflowPunct/>
        <w:topLinePunct w:val="0"/>
        <w:autoSpaceDE/>
        <w:autoSpaceDN/>
        <w:bidi w:val="0"/>
        <w:adjustRightInd/>
        <w:spacing w:line="560" w:lineRule="exact"/>
        <w:ind w:left="0" w:leftChars="0" w:right="0" w:rightChars="0" w:firstLine="5"/>
        <w:jc w:val="center"/>
        <w:textAlignment w:val="auto"/>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sz w:val="32"/>
          <w:szCs w:val="32"/>
        </w:rPr>
        <w:t xml:space="preserve">          </w:t>
      </w:r>
    </w:p>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小标宋简体" w:hAnsi="方正小标宋简体" w:eastAsia="方正小标宋简体" w:cs="方正小标宋简体"/>
          <w:bCs/>
          <w:sz w:val="44"/>
          <w:szCs w:val="44"/>
        </w:rPr>
      </w:pPr>
    </w:p>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小标宋简体" w:hAnsi="方正小标宋简体" w:eastAsia="方正小标宋简体" w:cs="方正小标宋简体"/>
          <w:bCs/>
          <w:sz w:val="44"/>
          <w:szCs w:val="44"/>
        </w:rPr>
      </w:pPr>
    </w:p>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小标宋简体" w:hAnsi="方正小标宋简体" w:eastAsia="方正小标宋简体" w:cs="方正小标宋简体"/>
          <w:bCs/>
          <w:sz w:val="44"/>
          <w:szCs w:val="44"/>
        </w:rPr>
      </w:pPr>
    </w:p>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w:t>
      </w:r>
      <w:r>
        <w:rPr>
          <w:rFonts w:hint="default" w:ascii="Times New Roman" w:hAnsi="Times New Roman" w:eastAsia="方正小标宋简体" w:cs="Times New Roman"/>
          <w:bCs/>
          <w:sz w:val="44"/>
          <w:szCs w:val="44"/>
        </w:rPr>
        <w:t>2022</w:t>
      </w:r>
      <w:r>
        <w:rPr>
          <w:rFonts w:hint="eastAsia" w:ascii="方正小标宋简体" w:hAnsi="方正小标宋简体" w:eastAsia="方正小标宋简体" w:cs="方正小标宋简体"/>
          <w:bCs/>
          <w:sz w:val="44"/>
          <w:szCs w:val="44"/>
        </w:rPr>
        <w:t>年度无锡市地基基础低应变检测</w:t>
      </w:r>
    </w:p>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bCs/>
          <w:sz w:val="32"/>
          <w:szCs w:val="32"/>
        </w:rPr>
      </w:pPr>
      <w:r>
        <w:rPr>
          <w:rFonts w:hint="eastAsia" w:ascii="方正小标宋简体" w:hAnsi="方正小标宋简体" w:eastAsia="方正小标宋简体" w:cs="方正小标宋简体"/>
          <w:bCs/>
          <w:sz w:val="44"/>
          <w:szCs w:val="44"/>
        </w:rPr>
        <w:t>能力验证情况的通报</w:t>
      </w:r>
    </w:p>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各市（县）、区住房城乡建设局，</w:t>
      </w:r>
      <w:r>
        <w:rPr>
          <w:rFonts w:hint="eastAsia" w:ascii="方正仿宋_GBK" w:hAnsi="方正仿宋_GBK" w:eastAsia="方正仿宋_GBK" w:cs="方正仿宋_GBK"/>
          <w:sz w:val="32"/>
          <w:szCs w:val="32"/>
          <w:lang w:val="en-US" w:eastAsia="zh-CN"/>
        </w:rPr>
        <w:t>经开区建设局，</w:t>
      </w:r>
      <w:r>
        <w:rPr>
          <w:rFonts w:hint="eastAsia" w:ascii="方正仿宋_GBK" w:hAnsi="方正仿宋_GBK" w:eastAsia="方正仿宋_GBK" w:cs="方正仿宋_GBK"/>
          <w:sz w:val="32"/>
          <w:szCs w:val="32"/>
        </w:rPr>
        <w:t>市建设工程管理服务中心，各有关检测机构：</w:t>
      </w:r>
      <w:bookmarkStart w:id="0" w:name="_GoBack"/>
      <w:bookmarkEnd w:id="0"/>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为加强全市建设工程质量检测机构的监督管理，进一步提高我市建设工程质量检测水平，根据《关于做好</w:t>
      </w:r>
      <w:r>
        <w:rPr>
          <w:rFonts w:hint="default"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年全市建设工程质量检测能力验证工作的通知》（锡建质安〔</w:t>
      </w:r>
      <w:r>
        <w:rPr>
          <w:rFonts w:hint="default"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号）的要求，市住房城乡建设局于</w:t>
      </w:r>
      <w:r>
        <w:rPr>
          <w:rFonts w:hint="default" w:ascii="Times New Roman" w:hAnsi="Times New Roman" w:eastAsia="方正仿宋_GBK" w:cs="Times New Roman"/>
          <w:sz w:val="32"/>
          <w:szCs w:val="32"/>
        </w:rPr>
        <w:t>8</w:t>
      </w:r>
      <w:r>
        <w:rPr>
          <w:rFonts w:hint="eastAsia" w:ascii="方正仿宋_GBK" w:hAnsi="方正仿宋_GBK" w:eastAsia="方正仿宋_GBK" w:cs="方正仿宋_GBK"/>
          <w:sz w:val="32"/>
          <w:szCs w:val="32"/>
        </w:rPr>
        <w:t>月</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日组织开展了全市地基基础低应变法检测能力验证工作，现将有关情况通报如下。</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一、基本情况</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本次能力验证活动共有</w:t>
      </w:r>
      <w:r>
        <w:rPr>
          <w:rFonts w:hint="eastAsia" w:ascii="方正仿宋_GBK" w:hAnsi="方正仿宋_GBK" w:eastAsia="方正仿宋_GBK" w:cs="方正仿宋_GBK"/>
          <w:sz w:val="32"/>
          <w:szCs w:val="32"/>
        </w:rPr>
        <w:t>无锡</w:t>
      </w:r>
      <w:r>
        <w:rPr>
          <w:rFonts w:hint="eastAsia" w:ascii="方正仿宋_GBK" w:hAnsi="方正仿宋_GBK" w:eastAsia="方正仿宋_GBK" w:cs="方正仿宋_GBK"/>
          <w:sz w:val="32"/>
          <w:szCs w:val="32"/>
        </w:rPr>
        <w:t>地</w:t>
      </w:r>
      <w:r>
        <w:rPr>
          <w:rFonts w:hint="eastAsia" w:ascii="方正仿宋_GBK" w:hAnsi="方正仿宋_GBK" w:eastAsia="方正仿宋_GBK" w:cs="方正仿宋_GBK"/>
          <w:sz w:val="32"/>
          <w:szCs w:val="32"/>
        </w:rPr>
        <w:t>区（含江阴、宜兴）从事基桩低应变反射波法</w:t>
      </w:r>
      <w:r>
        <w:rPr>
          <w:rFonts w:hint="eastAsia" w:ascii="方正仿宋_GBK" w:hAnsi="方正仿宋_GBK" w:eastAsia="方正仿宋_GBK" w:cs="方正仿宋_GBK"/>
          <w:sz w:val="32"/>
          <w:szCs w:val="32"/>
        </w:rPr>
        <w:t>检测</w:t>
      </w:r>
      <w:r>
        <w:rPr>
          <w:rFonts w:hint="eastAsia" w:ascii="方正仿宋_GBK" w:hAnsi="方正仿宋_GBK" w:eastAsia="方正仿宋_GBK" w:cs="方正仿宋_GBK"/>
          <w:sz w:val="32"/>
          <w:szCs w:val="32"/>
        </w:rPr>
        <w:t>业务的</w:t>
      </w:r>
      <w:r>
        <w:rPr>
          <w:rFonts w:hint="default" w:ascii="Times New Roman" w:hAnsi="Times New Roman" w:eastAsia="方正仿宋_GBK" w:cs="Times New Roman"/>
          <w:sz w:val="32"/>
          <w:szCs w:val="32"/>
        </w:rPr>
        <w:t>30</w:t>
      </w:r>
      <w:r>
        <w:rPr>
          <w:rFonts w:hint="eastAsia" w:ascii="方正仿宋_GBK" w:hAnsi="方正仿宋_GBK" w:eastAsia="方正仿宋_GBK" w:cs="方正仿宋_GBK"/>
          <w:sz w:val="32"/>
          <w:szCs w:val="32"/>
        </w:rPr>
        <w:t>家</w:t>
      </w:r>
      <w:r>
        <w:rPr>
          <w:rFonts w:hint="eastAsia" w:ascii="方正仿宋_GBK" w:hAnsi="方正仿宋_GBK" w:eastAsia="方正仿宋_GBK" w:cs="方正仿宋_GBK"/>
          <w:sz w:val="32"/>
          <w:szCs w:val="32"/>
        </w:rPr>
        <w:t>检测机构参加，每家检测机构三人共</w:t>
      </w:r>
      <w:r>
        <w:rPr>
          <w:rFonts w:hint="default" w:ascii="Times New Roman" w:hAnsi="Times New Roman" w:eastAsia="方正仿宋_GBK" w:cs="Times New Roman"/>
          <w:sz w:val="32"/>
          <w:szCs w:val="32"/>
        </w:rPr>
        <w:t>90</w:t>
      </w:r>
      <w:r>
        <w:rPr>
          <w:rFonts w:hint="eastAsia" w:ascii="方正仿宋_GBK" w:hAnsi="方正仿宋_GBK" w:eastAsia="方正仿宋_GBK" w:cs="方正仿宋_GBK"/>
          <w:sz w:val="32"/>
          <w:szCs w:val="32"/>
        </w:rPr>
        <w:t>名</w:t>
      </w:r>
      <w:r>
        <w:rPr>
          <w:rFonts w:hint="eastAsia" w:ascii="方正仿宋_GBK" w:hAnsi="方正仿宋_GBK" w:eastAsia="方正仿宋_GBK" w:cs="方正仿宋_GBK"/>
          <w:sz w:val="32"/>
          <w:szCs w:val="32"/>
        </w:rPr>
        <w:t>检测人员</w:t>
      </w:r>
      <w:r>
        <w:rPr>
          <w:rFonts w:hint="eastAsia" w:ascii="方正仿宋_GBK" w:hAnsi="方正仿宋_GBK" w:eastAsia="方正仿宋_GBK" w:cs="方正仿宋_GBK"/>
          <w:sz w:val="32"/>
          <w:szCs w:val="32"/>
        </w:rPr>
        <w:t>参加</w:t>
      </w:r>
      <w:r>
        <w:rPr>
          <w:rFonts w:hint="eastAsia" w:ascii="方正仿宋_GBK" w:hAnsi="方正仿宋_GBK" w:eastAsia="方正仿宋_GBK" w:cs="方正仿宋_GBK"/>
          <w:sz w:val="32"/>
          <w:szCs w:val="32"/>
        </w:rPr>
        <w:t>了能力验</w:t>
      </w:r>
      <w:r>
        <w:rPr>
          <w:rFonts w:hint="eastAsia" w:ascii="方正仿宋_GBK" w:hAnsi="方正仿宋_GBK" w:eastAsia="方正仿宋_GBK" w:cs="方正仿宋_GBK"/>
          <w:sz w:val="32"/>
          <w:szCs w:val="32"/>
        </w:rPr>
        <w:t>证</w:t>
      </w:r>
      <w:r>
        <w:rPr>
          <w:rFonts w:hint="eastAsia" w:ascii="方正仿宋_GBK" w:hAnsi="方正仿宋_GBK" w:eastAsia="方正仿宋_GBK" w:cs="方正仿宋_GBK"/>
          <w:sz w:val="32"/>
          <w:szCs w:val="32"/>
        </w:rPr>
        <w:t>活动</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本次能力验证活动采用工程项目</w:t>
      </w:r>
      <w:r>
        <w:rPr>
          <w:rFonts w:hint="default" w:ascii="Times New Roman" w:hAnsi="Times New Roman" w:eastAsia="方正仿宋_GBK" w:cs="Times New Roman"/>
          <w:sz w:val="32"/>
          <w:szCs w:val="32"/>
        </w:rPr>
        <w:t>XDG</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2021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33</w:t>
      </w:r>
      <w:r>
        <w:rPr>
          <w:rFonts w:hint="eastAsia" w:ascii="方正仿宋_GBK" w:hAnsi="方正仿宋_GBK" w:eastAsia="方正仿宋_GBK" w:cs="方正仿宋_GBK"/>
          <w:sz w:val="32"/>
          <w:szCs w:val="32"/>
        </w:rPr>
        <w:t>号地块现场试桩作为模型桩的考核方式进行。验证检测采用预制混凝土方桩(</w:t>
      </w:r>
      <w:r>
        <w:rPr>
          <w:rFonts w:hint="default" w:ascii="Times New Roman" w:hAnsi="Times New Roman" w:eastAsia="方正仿宋_GBK" w:cs="Times New Roman"/>
          <w:sz w:val="32"/>
          <w:szCs w:val="32"/>
        </w:rPr>
        <w:t>500</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500</w:t>
      </w:r>
      <w:r>
        <w:rPr>
          <w:rFonts w:hint="eastAsia" w:ascii="方正仿宋_GBK" w:hAnsi="方正仿宋_GBK" w:eastAsia="方正仿宋_GBK" w:cs="方正仿宋_GBK"/>
          <w:sz w:val="32"/>
          <w:szCs w:val="32"/>
        </w:rPr>
        <w:t>)两节桩作为模型桩，共设置</w:t>
      </w:r>
      <w:r>
        <w:rPr>
          <w:rFonts w:hint="default" w:ascii="Times New Roman" w:hAnsi="Times New Roman" w:eastAsia="方正仿宋_GBK" w:cs="Times New Roman"/>
          <w:sz w:val="32"/>
          <w:szCs w:val="32"/>
        </w:rPr>
        <w:t>17</w:t>
      </w:r>
      <w:r>
        <w:rPr>
          <w:rFonts w:hint="eastAsia" w:ascii="方正仿宋_GBK" w:hAnsi="方正仿宋_GBK" w:eastAsia="方正仿宋_GBK" w:cs="方正仿宋_GBK"/>
          <w:sz w:val="32"/>
          <w:szCs w:val="32"/>
        </w:rPr>
        <w:t>根桩，分三组（分</w:t>
      </w:r>
      <w:r>
        <w:rPr>
          <w:rFonts w:hint="default" w:ascii="Times New Roman" w:hAnsi="Times New Roman" w:eastAsia="方正仿宋_GBK" w:cs="Times New Roman"/>
          <w:sz w:val="32"/>
          <w:szCs w:val="32"/>
        </w:rPr>
        <w:t>A</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B</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C</w:t>
      </w:r>
      <w:r>
        <w:rPr>
          <w:rFonts w:hint="eastAsia" w:ascii="方正仿宋_GBK" w:hAnsi="方正仿宋_GBK" w:eastAsia="方正仿宋_GBK" w:cs="方正仿宋_GBK"/>
          <w:sz w:val="32"/>
          <w:szCs w:val="32"/>
        </w:rPr>
        <w:t>组各</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根桩），每家检测机构分别在三组模型桩中各现场抽取一根桩号，共三根考试桩，分批次开展现场测试及内业分析，后限时提交检测结果报告。</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二、验证结果</w:t>
      </w:r>
    </w:p>
    <w:p>
      <w:pPr>
        <w:keepNext w:val="0"/>
        <w:keepLines w:val="0"/>
        <w:pageBreakBefore w:val="0"/>
        <w:widowControl w:val="0"/>
        <w:kinsoku/>
        <w:wordWrap/>
        <w:overflowPunct/>
        <w:topLinePunct w:val="0"/>
        <w:autoSpaceDE/>
        <w:autoSpaceDN/>
        <w:bidi w:val="0"/>
        <w:adjustRightInd/>
        <w:snapToGrid w:val="0"/>
        <w:spacing w:line="560" w:lineRule="exact"/>
        <w:ind w:right="0" w:righ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市住房城乡建设局委托市建设工程管理服务中心组织评审专家组，对各检测机构现场考试递交的检测数据及分析结果，依据</w:t>
      </w:r>
      <w:r>
        <w:rPr>
          <w:rFonts w:hint="eastAsia" w:ascii="方正仿宋_GBK" w:hAnsi="方正仿宋_GBK" w:eastAsia="方正仿宋_GBK" w:cs="方正仿宋_GBK"/>
          <w:sz w:val="32"/>
          <w:szCs w:val="32"/>
        </w:rPr>
        <w:t>《建筑地基基础检测规程》</w:t>
      </w:r>
      <w:r>
        <w:rPr>
          <w:rFonts w:hint="default" w:ascii="Times New Roman" w:hAnsi="Times New Roman" w:eastAsia="方正仿宋_GBK" w:cs="Times New Roman"/>
          <w:sz w:val="32"/>
          <w:szCs w:val="32"/>
        </w:rPr>
        <w:t>DB32</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T3916</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2020</w:t>
      </w:r>
      <w:r>
        <w:rPr>
          <w:rFonts w:hint="eastAsia" w:ascii="方正仿宋_GBK" w:hAnsi="方正仿宋_GBK" w:eastAsia="方正仿宋_GBK" w:cs="方正仿宋_GBK"/>
          <w:sz w:val="32"/>
          <w:szCs w:val="32"/>
        </w:rPr>
        <w:t>、《建筑基桩检测技术规范》</w:t>
      </w:r>
      <w:r>
        <w:rPr>
          <w:rFonts w:hint="default" w:ascii="Times New Roman" w:hAnsi="Times New Roman" w:eastAsia="方正仿宋_GBK" w:cs="Times New Roman"/>
          <w:sz w:val="32"/>
          <w:szCs w:val="32"/>
        </w:rPr>
        <w:t>JGJ</w:t>
      </w: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106</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2014</w:t>
      </w:r>
      <w:r>
        <w:rPr>
          <w:rFonts w:hint="eastAsia" w:ascii="方正仿宋_GBK" w:hAnsi="方正仿宋_GBK" w:eastAsia="方正仿宋_GBK" w:cs="方正仿宋_GBK"/>
          <w:sz w:val="32"/>
          <w:szCs w:val="32"/>
        </w:rPr>
        <w:t>，并</w:t>
      </w:r>
      <w:r>
        <w:rPr>
          <w:rFonts w:hint="eastAsia" w:ascii="方正仿宋_GBK" w:hAnsi="方正仿宋_GBK" w:eastAsia="方正仿宋_GBK" w:cs="方正仿宋_GBK"/>
          <w:sz w:val="32"/>
          <w:szCs w:val="32"/>
        </w:rPr>
        <w:t>按判定规则进行了分析、评审和汇总，本次</w:t>
      </w:r>
      <w:r>
        <w:rPr>
          <w:rFonts w:hint="eastAsia" w:ascii="方正仿宋_GBK" w:hAnsi="方正仿宋_GBK" w:eastAsia="方正仿宋_GBK" w:cs="方正仿宋_GBK"/>
          <w:sz w:val="32"/>
          <w:szCs w:val="32"/>
        </w:rPr>
        <w:t>基桩低应变反射波法</w:t>
      </w:r>
      <w:r>
        <w:rPr>
          <w:rFonts w:hint="eastAsia" w:ascii="方正仿宋_GBK" w:hAnsi="方正仿宋_GBK" w:eastAsia="方正仿宋_GBK" w:cs="方正仿宋_GBK"/>
          <w:sz w:val="32"/>
          <w:szCs w:val="32"/>
        </w:rPr>
        <w:t>检测能力验证结果分为三个档次：满意、可疑及不满意。其中有</w:t>
      </w:r>
      <w:r>
        <w:rPr>
          <w:rFonts w:hint="default" w:ascii="Times New Roman" w:hAnsi="Times New Roman" w:eastAsia="方正仿宋_GBK" w:cs="Times New Roman"/>
          <w:sz w:val="32"/>
          <w:szCs w:val="32"/>
        </w:rPr>
        <w:t>22</w:t>
      </w:r>
      <w:r>
        <w:rPr>
          <w:rFonts w:hint="eastAsia" w:ascii="方正仿宋_GBK" w:hAnsi="方正仿宋_GBK" w:eastAsia="方正仿宋_GBK" w:cs="方正仿宋_GBK"/>
          <w:sz w:val="32"/>
          <w:szCs w:val="32"/>
        </w:rPr>
        <w:t>家满意、</w:t>
      </w:r>
      <w:r>
        <w:rPr>
          <w:rFonts w:hint="default"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家可疑、</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家不满意，占比分别为：满意</w:t>
      </w:r>
      <w:r>
        <w:rPr>
          <w:rFonts w:hint="default" w:ascii="Times New Roman" w:hAnsi="Times New Roman" w:eastAsia="方正仿宋_GBK" w:cs="Times New Roman"/>
          <w:sz w:val="32"/>
          <w:szCs w:val="32"/>
        </w:rPr>
        <w:t>73</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%、可疑</w:t>
      </w:r>
      <w:r>
        <w:rPr>
          <w:rFonts w:hint="default" w:ascii="Times New Roman" w:hAnsi="Times New Roman" w:eastAsia="方正仿宋_GBK" w:cs="Times New Roman"/>
          <w:sz w:val="32"/>
          <w:szCs w:val="32"/>
        </w:rPr>
        <w:t>16</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%、不满意</w:t>
      </w:r>
      <w:r>
        <w:rPr>
          <w:rFonts w:hint="default"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0</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详见附件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三、有关意见</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lang w:eastAsia="zh-CN"/>
        </w:rPr>
      </w:pP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能力验证检测结果值满意的</w:t>
      </w:r>
      <w:r>
        <w:rPr>
          <w:rFonts w:hint="default" w:ascii="Times New Roman" w:hAnsi="Times New Roman" w:eastAsia="方正仿宋_GBK" w:cs="Times New Roman"/>
          <w:sz w:val="32"/>
          <w:szCs w:val="32"/>
        </w:rPr>
        <w:t>22</w:t>
      </w:r>
      <w:r>
        <w:rPr>
          <w:rFonts w:hint="eastAsia" w:ascii="方正仿宋_GBK" w:hAnsi="方正仿宋_GBK" w:eastAsia="方正仿宋_GBK" w:cs="方正仿宋_GBK"/>
          <w:sz w:val="32"/>
          <w:szCs w:val="32"/>
        </w:rPr>
        <w:t>家检测机构，其</w:t>
      </w:r>
      <w:r>
        <w:rPr>
          <w:rFonts w:hint="eastAsia" w:ascii="方正仿宋_GBK" w:hAnsi="方正仿宋_GBK" w:eastAsia="方正仿宋_GBK" w:cs="方正仿宋_GBK"/>
          <w:sz w:val="32"/>
          <w:szCs w:val="32"/>
        </w:rPr>
        <w:t>基桩低应变反射波法</w:t>
      </w:r>
      <w:r>
        <w:rPr>
          <w:rFonts w:hint="eastAsia" w:ascii="方正仿宋_GBK" w:hAnsi="方正仿宋_GBK" w:eastAsia="方正仿宋_GBK" w:cs="方正仿宋_GBK"/>
          <w:sz w:val="32"/>
          <w:szCs w:val="32"/>
        </w:rPr>
        <w:t>检测能力符合要求，建议保持检测能力并不断提高</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lang w:eastAsia="zh-CN"/>
        </w:rPr>
      </w:pP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能力验证检测结果值为可疑的</w:t>
      </w:r>
      <w:r>
        <w:rPr>
          <w:rFonts w:hint="default"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家检测机构应认真分析原因，制定整改方案，采取切实有效的纠正措施，通过比对试验等方式进行验证，以保证今后检测数据的准确可靠，并保存整改过程影像记录和整改完成材料，将整改完成情况报属地监督机构审核，在</w:t>
      </w:r>
      <w:r>
        <w:rPr>
          <w:rFonts w:hint="default" w:ascii="Times New Roman" w:hAnsi="Times New Roman" w:eastAsia="方正仿宋_GBK" w:cs="Times New Roman"/>
          <w:sz w:val="32"/>
          <w:szCs w:val="32"/>
        </w:rPr>
        <w:t>15</w:t>
      </w:r>
      <w:r>
        <w:rPr>
          <w:rFonts w:hint="eastAsia" w:ascii="方正仿宋_GBK" w:hAnsi="方正仿宋_GBK" w:eastAsia="方正仿宋_GBK" w:cs="方正仿宋_GBK"/>
          <w:sz w:val="32"/>
          <w:szCs w:val="32"/>
        </w:rPr>
        <w:t>个工作日内上报市建设工程管理服务中心</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lang w:eastAsia="zh-CN"/>
        </w:rPr>
      </w:pP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能力验证检测结果值为不满意的</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家检测机构，自通报发文之日起，暂停承接本项目业务，整改限期为</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个月，在此期间，不得对外出具该项目检测报告。并采取切实有效的整改措施，通过比对试验等方式进行验证，将整改完成情况报属地监督机构审核后上报市建设工程管理服务中心</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4</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各检测机构应在完成行政主管部门规定的能力验证工作的同时，认真开展检测机构之间的比对试验，切实提升检测机构技术业务的整体水平，为我市工程质量提供有效保障。</w:t>
      </w:r>
    </w:p>
    <w:p>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本次能力验证的结果将作为监督检查、信用管理等工作的重要依据。</w:t>
      </w: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r>
        <w:rPr>
          <w:rFonts w:hint="default"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年度无锡市地基基础低应变检测能力验证结果</w:t>
      </w: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firstLine="4640" w:firstLineChars="145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无锡市住房和城乡建设局</w:t>
      </w: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年</w:t>
      </w:r>
      <w:r>
        <w:rPr>
          <w:rFonts w:hint="default" w:ascii="Times New Roman" w:hAnsi="Times New Roman" w:eastAsia="方正仿宋_GBK" w:cs="Times New Roman"/>
          <w:sz w:val="32"/>
          <w:szCs w:val="32"/>
        </w:rPr>
        <w:t>8</w:t>
      </w:r>
      <w:r>
        <w:rPr>
          <w:rFonts w:hint="eastAsia" w:ascii="方正仿宋_GBK" w:hAnsi="方正仿宋_GBK" w:eastAsia="方正仿宋_GBK" w:cs="方正仿宋_GBK"/>
          <w:sz w:val="32"/>
          <w:szCs w:val="32"/>
        </w:rPr>
        <w:t>月</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日</w:t>
      </w: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right="0" w:rightChars="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firstLine="160" w:firstLineChars="50"/>
        <w:textAlignment w:val="auto"/>
        <w:rPr>
          <w:rFonts w:hint="eastAsia" w:ascii="方正黑体_GBK" w:hAnsi="方正黑体_GBK" w:eastAsia="方正黑体_GBK" w:cs="方正黑体_GBK"/>
          <w:sz w:val="32"/>
          <w:szCs w:val="32"/>
        </w:rPr>
        <w:sectPr>
          <w:footerReference r:id="rId3" w:type="default"/>
          <w:footerReference r:id="rId4" w:type="even"/>
          <w:pgSz w:w="11906" w:h="16838"/>
          <w:pgMar w:top="1440" w:right="1474" w:bottom="1440" w:left="1587" w:header="851" w:footer="992" w:gutter="0"/>
          <w:pgNumType w:start="1"/>
          <w:cols w:space="720" w:num="1"/>
          <w:docGrid w:linePitch="634" w:charSpace="20844"/>
        </w:sectPr>
      </w:pPr>
    </w:p>
    <w:p>
      <w:pPr>
        <w:keepNext w:val="0"/>
        <w:keepLines w:val="0"/>
        <w:pageBreakBefore w:val="0"/>
        <w:kinsoku/>
        <w:wordWrap/>
        <w:overflowPunct/>
        <w:topLinePunct w:val="0"/>
        <w:autoSpaceDE/>
        <w:autoSpaceDN/>
        <w:bidi w:val="0"/>
        <w:adjustRightInd/>
        <w:spacing w:line="560" w:lineRule="exact"/>
        <w:ind w:left="0" w:leftChars="0" w:right="0" w:rightChars="0" w:firstLine="160" w:firstLineChars="5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keepNext w:val="0"/>
        <w:keepLines w:val="0"/>
        <w:pageBreakBefore w:val="0"/>
        <w:kinsoku/>
        <w:wordWrap/>
        <w:overflowPunct/>
        <w:topLinePunct w:val="0"/>
        <w:autoSpaceDE/>
        <w:autoSpaceDN/>
        <w:bidi w:val="0"/>
        <w:adjustRightInd/>
        <w:spacing w:line="560" w:lineRule="exact"/>
        <w:ind w:left="0" w:leftChars="0" w:right="0" w:rightChars="0" w:firstLine="220" w:firstLineChars="50"/>
        <w:jc w:val="center"/>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pacing w:line="560" w:lineRule="exact"/>
        <w:ind w:left="0" w:leftChars="0" w:right="0" w:rightChars="0" w:firstLine="220" w:firstLineChars="50"/>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方正小标宋简体" w:cs="Times New Roman"/>
          <w:sz w:val="44"/>
          <w:szCs w:val="44"/>
        </w:rPr>
        <w:t>2022</w:t>
      </w:r>
      <w:r>
        <w:rPr>
          <w:rFonts w:hint="eastAsia" w:ascii="方正小标宋简体" w:hAnsi="方正小标宋简体" w:eastAsia="方正小标宋简体" w:cs="方正小标宋简体"/>
          <w:sz w:val="44"/>
          <w:szCs w:val="44"/>
        </w:rPr>
        <w:t>年度无锡市地基基础低应变检测能力</w:t>
      </w:r>
    </w:p>
    <w:p>
      <w:pPr>
        <w:keepNext w:val="0"/>
        <w:keepLines w:val="0"/>
        <w:pageBreakBefore w:val="0"/>
        <w:kinsoku/>
        <w:wordWrap/>
        <w:overflowPunct/>
        <w:topLinePunct w:val="0"/>
        <w:autoSpaceDE/>
        <w:autoSpaceDN/>
        <w:bidi w:val="0"/>
        <w:adjustRightInd/>
        <w:spacing w:line="560" w:lineRule="exact"/>
        <w:ind w:left="0" w:leftChars="0" w:right="0" w:rightChars="0" w:firstLine="220" w:firstLineChars="5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验证结果</w:t>
      </w:r>
    </w:p>
    <w:p>
      <w:pPr>
        <w:keepNext w:val="0"/>
        <w:keepLines w:val="0"/>
        <w:pageBreakBefore w:val="0"/>
        <w:kinsoku/>
        <w:wordWrap/>
        <w:overflowPunct/>
        <w:topLinePunct w:val="0"/>
        <w:autoSpaceDE/>
        <w:autoSpaceDN/>
        <w:bidi w:val="0"/>
        <w:adjustRightInd/>
        <w:spacing w:line="560" w:lineRule="exact"/>
        <w:ind w:left="0" w:leftChars="0" w:right="0" w:rightChars="0" w:firstLine="160" w:firstLineChars="50"/>
        <w:textAlignment w:val="auto"/>
        <w:rPr>
          <w:rFonts w:hint="eastAsia" w:ascii="方正仿宋_GBK" w:hAnsi="方正仿宋_GBK" w:eastAsia="方正仿宋_GBK" w:cs="方正仿宋_GBK"/>
          <w:sz w:val="32"/>
          <w:szCs w:val="32"/>
        </w:rPr>
      </w:pPr>
    </w:p>
    <w:tbl>
      <w:tblPr>
        <w:tblStyle w:val="8"/>
        <w:tblW w:w="0" w:type="auto"/>
        <w:jc w:val="center"/>
        <w:tblLayout w:type="autofit"/>
        <w:tblCellMar>
          <w:top w:w="0" w:type="dxa"/>
          <w:left w:w="108" w:type="dxa"/>
          <w:bottom w:w="0" w:type="dxa"/>
          <w:right w:w="108" w:type="dxa"/>
        </w:tblCellMar>
      </w:tblPr>
      <w:tblGrid>
        <w:gridCol w:w="969"/>
        <w:gridCol w:w="6428"/>
        <w:gridCol w:w="1471"/>
      </w:tblGrid>
      <w:tr>
        <w:tblPrEx>
          <w:tblCellMar>
            <w:top w:w="0" w:type="dxa"/>
            <w:left w:w="108" w:type="dxa"/>
            <w:bottom w:w="0" w:type="dxa"/>
            <w:right w:w="108" w:type="dxa"/>
          </w:tblCellMar>
        </w:tblPrEx>
        <w:trPr>
          <w:trHeight w:val="20" w:hRule="atLeast"/>
          <w:jc w:val="center"/>
        </w:trPr>
        <w:tc>
          <w:tcPr>
            <w:tcW w:w="96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黑体_GBK" w:hAnsi="方正黑体_GBK" w:eastAsia="方正黑体_GBK" w:cs="方正黑体_GBK"/>
                <w:b w:val="0"/>
                <w:bCs w:val="0"/>
                <w:color w:val="000000"/>
                <w:kern w:val="0"/>
                <w:sz w:val="32"/>
                <w:szCs w:val="32"/>
              </w:rPr>
            </w:pPr>
            <w:r>
              <w:rPr>
                <w:rFonts w:hint="eastAsia" w:ascii="方正黑体_GBK" w:hAnsi="方正黑体_GBK" w:eastAsia="方正黑体_GBK" w:cs="方正黑体_GBK"/>
                <w:b w:val="0"/>
                <w:bCs w:val="0"/>
                <w:color w:val="000000"/>
                <w:kern w:val="0"/>
                <w:sz w:val="32"/>
                <w:szCs w:val="32"/>
              </w:rPr>
              <w:t>抽签序号</w:t>
            </w:r>
          </w:p>
        </w:tc>
        <w:tc>
          <w:tcPr>
            <w:tcW w:w="642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黑体_GBK" w:hAnsi="方正黑体_GBK" w:eastAsia="方正黑体_GBK" w:cs="方正黑体_GBK"/>
                <w:b w:val="0"/>
                <w:bCs w:val="0"/>
                <w:color w:val="000000"/>
                <w:kern w:val="0"/>
                <w:sz w:val="32"/>
                <w:szCs w:val="32"/>
              </w:rPr>
            </w:pPr>
            <w:r>
              <w:rPr>
                <w:rFonts w:hint="eastAsia" w:ascii="方正黑体_GBK" w:hAnsi="方正黑体_GBK" w:eastAsia="方正黑体_GBK" w:cs="方正黑体_GBK"/>
                <w:b w:val="0"/>
                <w:bCs w:val="0"/>
                <w:color w:val="000000"/>
                <w:kern w:val="0"/>
                <w:sz w:val="32"/>
                <w:szCs w:val="32"/>
              </w:rPr>
              <w:t>检测机构名称</w:t>
            </w:r>
          </w:p>
        </w:tc>
        <w:tc>
          <w:tcPr>
            <w:tcW w:w="147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黑体_GBK" w:hAnsi="方正黑体_GBK" w:eastAsia="方正黑体_GBK" w:cs="方正黑体_GBK"/>
                <w:b w:val="0"/>
                <w:bCs w:val="0"/>
                <w:color w:val="000000"/>
                <w:kern w:val="0"/>
                <w:sz w:val="32"/>
                <w:szCs w:val="32"/>
              </w:rPr>
            </w:pPr>
            <w:r>
              <w:rPr>
                <w:rFonts w:hint="eastAsia" w:ascii="方正黑体_GBK" w:hAnsi="方正黑体_GBK" w:eastAsia="方正黑体_GBK" w:cs="方正黑体_GBK"/>
                <w:b w:val="0"/>
                <w:bCs w:val="0"/>
                <w:color w:val="000000"/>
                <w:kern w:val="0"/>
                <w:sz w:val="32"/>
                <w:szCs w:val="32"/>
              </w:rPr>
              <w:t>评价</w:t>
            </w: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江苏鑫祥建设材料研究有限公司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江苏中泰工程勘测有限公司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3</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江阴市建科岩土工程勘测有限公司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4</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江苏金麟技术检测鉴定集团有限公司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5</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江阴市中建工程质量检测有限公司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可疑</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6</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南京新华泰工程质量检测有限公司无锡分公司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7</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江苏方建质量鉴定检测有限公司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8</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江苏鑫源岩土勘察工程有限公司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9</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kern w:val="0"/>
                <w:sz w:val="30"/>
                <w:szCs w:val="30"/>
              </w:rPr>
              <w:t>江苏长江建设工程质量检测有限公司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10</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江阴市经纬工程质量检测有限公司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可疑</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11</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江苏方测建筑工程技术有限公司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不满意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12</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江苏华科建设工程质量检测有限公司江阴</w:t>
            </w:r>
          </w:p>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分公司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不满意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13</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南京南大工程检测有限公司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14</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江苏圆丰建设工程质量检测有限公司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15</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江苏鑫科工程质量检测有限公司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16</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江苏众信工程检测有限公司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17</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苏交科集团检测认证有限公司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18</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无锡市恒信工程质量检测有限公司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可疑</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19</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江苏成佳工程技术有限公司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20</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无锡市建筑工程质量检测中心</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21</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江苏省建苑岩土工程勘测有限公司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22</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宜兴市土木建设工程质量检测有限公司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23</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无锡市建苑工程检测有限公司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24</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江苏钧晟工程勘测有限公司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可疑</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25</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无锡高新工程检测有限公司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26</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南京南大岩土工程技术有限公司江阴分公司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27</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宜兴市宏信建设工程质量检测有限公司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可疑</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28</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无锡恒科工程质量检测有限公司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29</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无锡同济工程质量检测有限公司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不满意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0"/>
                <w:szCs w:val="30"/>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r>
        <w:tblPrEx>
          <w:tblCellMar>
            <w:top w:w="0" w:type="dxa"/>
            <w:left w:w="108" w:type="dxa"/>
            <w:bottom w:w="0" w:type="dxa"/>
            <w:right w:w="108" w:type="dxa"/>
          </w:tblCellMar>
        </w:tblPrEx>
        <w:trPr>
          <w:trHeight w:val="363" w:hRule="atLeast"/>
          <w:jc w:val="center"/>
        </w:trPr>
        <w:tc>
          <w:tcPr>
            <w:tcW w:w="96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color w:val="000000"/>
                <w:kern w:val="0"/>
                <w:sz w:val="32"/>
                <w:szCs w:val="32"/>
              </w:rPr>
              <w:t>30</w:t>
            </w:r>
          </w:p>
        </w:tc>
        <w:tc>
          <w:tcPr>
            <w:tcW w:w="64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0"/>
                <w:szCs w:val="30"/>
              </w:rPr>
            </w:pPr>
            <w:r>
              <w:rPr>
                <w:rFonts w:hint="eastAsia" w:ascii="方正仿宋_GBK" w:hAnsi="方正仿宋_GBK" w:eastAsia="方正仿宋_GBK" w:cs="方正仿宋_GBK"/>
                <w:color w:val="000000"/>
                <w:kern w:val="0"/>
                <w:sz w:val="30"/>
                <w:szCs w:val="30"/>
              </w:rPr>
              <w:t>无锡市勘察设计研究院有限公司</w:t>
            </w:r>
          </w:p>
        </w:tc>
        <w:tc>
          <w:tcPr>
            <w:tcW w:w="147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center"/>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满意</w:t>
            </w:r>
          </w:p>
        </w:tc>
      </w:tr>
      <w:tr>
        <w:tblPrEx>
          <w:tblCellMar>
            <w:top w:w="0" w:type="dxa"/>
            <w:left w:w="108" w:type="dxa"/>
            <w:bottom w:w="0" w:type="dxa"/>
            <w:right w:w="108" w:type="dxa"/>
          </w:tblCellMar>
        </w:tblPrEx>
        <w:trPr>
          <w:trHeight w:val="363" w:hRule="atLeast"/>
          <w:jc w:val="center"/>
        </w:trPr>
        <w:tc>
          <w:tcPr>
            <w:tcW w:w="969"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6428"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c>
          <w:tcPr>
            <w:tcW w:w="1471" w:type="dxa"/>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ascii="方正仿宋_GBK" w:hAnsi="方正仿宋_GBK" w:eastAsia="方正仿宋_GBK" w:cs="方正仿宋_GBK"/>
                <w:color w:val="000000"/>
                <w:kern w:val="0"/>
                <w:sz w:val="32"/>
                <w:szCs w:val="32"/>
              </w:rPr>
            </w:pPr>
          </w:p>
        </w:tc>
      </w:tr>
    </w:tbl>
    <w:p>
      <w:pPr>
        <w:keepNext w:val="0"/>
        <w:keepLines w:val="0"/>
        <w:pageBreakBefore w:val="0"/>
        <w:kinsoku/>
        <w:wordWrap/>
        <w:overflowPunct/>
        <w:topLinePunct w:val="0"/>
        <w:autoSpaceDE/>
        <w:autoSpaceDN/>
        <w:bidi w:val="0"/>
        <w:adjustRightInd/>
        <w:spacing w:line="560" w:lineRule="exact"/>
        <w:ind w:left="0" w:leftChars="0" w:right="0" w:rightChars="0" w:firstLine="160" w:firstLineChars="50"/>
        <w:textAlignment w:val="auto"/>
        <w:rPr>
          <w:rFonts w:hint="eastAsia" w:ascii="方正仿宋_GBK" w:hAnsi="方正仿宋_GBK" w:eastAsia="方正仿宋_GBK" w:cs="方正仿宋_GBK"/>
          <w:sz w:val="32"/>
          <w:szCs w:val="32"/>
        </w:rPr>
      </w:pPr>
    </w:p>
    <w:sectPr>
      <w:pgSz w:w="11906" w:h="16838"/>
      <w:pgMar w:top="1418" w:right="1474" w:bottom="1418" w:left="1587" w:header="851" w:footer="992" w:gutter="0"/>
      <w:pgNumType w:start="1"/>
      <w:cols w:space="720" w:num="1"/>
      <w:docGrid w:linePitch="634" w:charSpace="20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_GBK">
    <w:altName w:val="Arial Unicode MS"/>
    <w:panose1 w:val="00000000000000000000"/>
    <w:charset w:val="86"/>
    <w:family w:val="script"/>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Luxi Sans">
    <w:altName w:val="Times New Roman"/>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AdobeSongStd-Light">
    <w:altName w:val="宋体"/>
    <w:panose1 w:val="00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ascii="宋体"/>
        <w:sz w:val="28"/>
        <w:szCs w:val="28"/>
      </w:rPr>
    </w:pPr>
    <w:r>
      <w:rPr>
        <w:rFonts w:hint="eastAsia" w:ascii="宋体"/>
        <w:sz w:val="28"/>
        <w:szCs w:val="28"/>
      </w:rPr>
      <w:t xml:space="preserve">     </w:t>
    </w:r>
  </w:p>
  <w:p>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embedSystemFonts/>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mODk4NzViMTRjMzI4ZjQ0NzQ3Y2EzYjZmMzM5ZDYifQ=="/>
  </w:docVars>
  <w:rsids>
    <w:rsidRoot w:val="000F321D"/>
    <w:rsid w:val="0009394B"/>
    <w:rsid w:val="000D7F68"/>
    <w:rsid w:val="000F321D"/>
    <w:rsid w:val="00155D1C"/>
    <w:rsid w:val="001944CF"/>
    <w:rsid w:val="001A234B"/>
    <w:rsid w:val="00235380"/>
    <w:rsid w:val="002B7E1D"/>
    <w:rsid w:val="002C1011"/>
    <w:rsid w:val="002C56D6"/>
    <w:rsid w:val="002D6250"/>
    <w:rsid w:val="003065B2"/>
    <w:rsid w:val="003549B7"/>
    <w:rsid w:val="00417684"/>
    <w:rsid w:val="00571F0E"/>
    <w:rsid w:val="005764D2"/>
    <w:rsid w:val="00662FF7"/>
    <w:rsid w:val="006A7007"/>
    <w:rsid w:val="006A7FD0"/>
    <w:rsid w:val="006C7580"/>
    <w:rsid w:val="00775629"/>
    <w:rsid w:val="007C4B53"/>
    <w:rsid w:val="008203C8"/>
    <w:rsid w:val="00835630"/>
    <w:rsid w:val="00837824"/>
    <w:rsid w:val="008721AD"/>
    <w:rsid w:val="00887F6C"/>
    <w:rsid w:val="00891903"/>
    <w:rsid w:val="008B03AB"/>
    <w:rsid w:val="008D3F6B"/>
    <w:rsid w:val="009101F7"/>
    <w:rsid w:val="00937FEE"/>
    <w:rsid w:val="0095167A"/>
    <w:rsid w:val="009872DA"/>
    <w:rsid w:val="009964A0"/>
    <w:rsid w:val="009F5FE8"/>
    <w:rsid w:val="009F6B34"/>
    <w:rsid w:val="009F79E7"/>
    <w:rsid w:val="00A03397"/>
    <w:rsid w:val="00A56C37"/>
    <w:rsid w:val="00A64F8D"/>
    <w:rsid w:val="00A83462"/>
    <w:rsid w:val="00AB25EC"/>
    <w:rsid w:val="00AB6D10"/>
    <w:rsid w:val="00B36F05"/>
    <w:rsid w:val="00B92746"/>
    <w:rsid w:val="00BE19F5"/>
    <w:rsid w:val="00BE537B"/>
    <w:rsid w:val="00C411B2"/>
    <w:rsid w:val="00CC40A9"/>
    <w:rsid w:val="00CE088D"/>
    <w:rsid w:val="00D014BA"/>
    <w:rsid w:val="00D22FCE"/>
    <w:rsid w:val="00D4607B"/>
    <w:rsid w:val="00D87A1B"/>
    <w:rsid w:val="00DD525E"/>
    <w:rsid w:val="00DD7DA5"/>
    <w:rsid w:val="00E81811"/>
    <w:rsid w:val="00EB0DD1"/>
    <w:rsid w:val="00ED19E7"/>
    <w:rsid w:val="00EE796A"/>
    <w:rsid w:val="00F001DC"/>
    <w:rsid w:val="00F0704B"/>
    <w:rsid w:val="00FD07AE"/>
    <w:rsid w:val="00FF2201"/>
    <w:rsid w:val="0A590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方正大标宋_GBK" w:hAnsi="方正大标宋_GBK" w:eastAsia="仿宋_GB2312" w:cs="方正大标宋_GBK"/>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Balloon Text"/>
    <w:basedOn w:val="1"/>
    <w:link w:val="10"/>
    <w:semiHidden/>
    <w:unhideWhenUsed/>
    <w:uiPriority w:val="99"/>
    <w:rPr>
      <w:sz w:val="18"/>
      <w:szCs w:val="18"/>
    </w:rPr>
  </w:style>
  <w:style w:type="paragraph" w:styleId="6">
    <w:name w:val="footer"/>
    <w:basedOn w:val="1"/>
    <w:link w:val="12"/>
    <w:semiHidden/>
    <w:unhideWhenUsed/>
    <w:uiPriority w:val="99"/>
    <w:pPr>
      <w:tabs>
        <w:tab w:val="center" w:pos="4153"/>
        <w:tab w:val="right" w:pos="8306"/>
      </w:tabs>
      <w:snapToGrid w:val="0"/>
      <w:jc w:val="left"/>
    </w:pPr>
    <w:rPr>
      <w:sz w:val="18"/>
      <w:szCs w:val="18"/>
    </w:rPr>
  </w:style>
  <w:style w:type="paragraph" w:styleId="7">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10">
    <w:name w:val="批注框文本 Char"/>
    <w:basedOn w:val="9"/>
    <w:link w:val="5"/>
    <w:semiHidden/>
    <w:uiPriority w:val="99"/>
    <w:rPr>
      <w:rFonts w:ascii="Calibri" w:hAnsi="Calibri" w:eastAsia="宋体" w:cs="Times New Roman"/>
      <w:kern w:val="2"/>
      <w:sz w:val="18"/>
      <w:szCs w:val="18"/>
    </w:rPr>
  </w:style>
  <w:style w:type="character" w:customStyle="1" w:styleId="11">
    <w:name w:val="页眉 Char"/>
    <w:basedOn w:val="9"/>
    <w:link w:val="7"/>
    <w:semiHidden/>
    <w:uiPriority w:val="99"/>
    <w:rPr>
      <w:rFonts w:ascii="Calibri" w:hAnsi="Calibri" w:eastAsia="宋体" w:cs="Times New Roman"/>
      <w:kern w:val="2"/>
      <w:sz w:val="18"/>
      <w:szCs w:val="18"/>
    </w:rPr>
  </w:style>
  <w:style w:type="character" w:customStyle="1" w:styleId="12">
    <w:name w:val="页脚 Char"/>
    <w:basedOn w:val="9"/>
    <w:link w:val="6"/>
    <w:semiHidden/>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ICOS</Company>
  <Pages>5</Pages>
  <Words>1685</Words>
  <Characters>1787</Characters>
  <Lines>3</Lines>
  <Paragraphs>4</Paragraphs>
  <TotalTime>2</TotalTime>
  <ScaleCrop>false</ScaleCrop>
  <LinksUpToDate>false</LinksUpToDate>
  <CharactersWithSpaces>1849</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2022-08-02T01:46:00Z</dcterms:created>
  <dc:creator>系统管理员</dc:creator>
  <cp:lastModifiedBy>热死了</cp:lastModifiedBy>
  <dcterms:modified xsi:type="dcterms:W3CDTF">2022-08-08T02:35:12Z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4C4D814400604ADA913DF6D388E0791E</vt:lpwstr>
  </property>
</Properties>
</file>